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9AAF1" w14:textId="77777777" w:rsidR="00E46F95" w:rsidRPr="00CD2D91" w:rsidRDefault="00E46F95" w:rsidP="00E46F95">
      <w:r w:rsidRPr="00CD2D91">
        <w:t>STATE OF NORTH CAROLINA</w:t>
      </w:r>
      <w:r w:rsidRPr="00CD2D91">
        <w:tab/>
      </w:r>
      <w:r w:rsidRPr="00CD2D91">
        <w:tab/>
        <w:t>IN THE GENERAL COURT OF JUSTICE</w:t>
      </w:r>
    </w:p>
    <w:p w14:paraId="0CAFA8E9" w14:textId="4361BC1A" w:rsidR="00E46F95" w:rsidRPr="00CD2D91" w:rsidRDefault="00E46F95" w:rsidP="00E46F95">
      <w:r>
        <w:t xml:space="preserve">COUNTY OF </w:t>
      </w:r>
      <w:r w:rsidR="00BB5B32">
        <w:t>______________</w:t>
      </w:r>
      <w:r>
        <w:tab/>
      </w:r>
      <w:r>
        <w:tab/>
        <w:t>SUPERIOR</w:t>
      </w:r>
      <w:r w:rsidRPr="00CD2D91">
        <w:t xml:space="preserve"> COURT DIVISION</w:t>
      </w:r>
    </w:p>
    <w:p w14:paraId="49EF9F74" w14:textId="4E8D3361" w:rsidR="00E46F95" w:rsidRPr="00CD2D91" w:rsidRDefault="00E46F95" w:rsidP="00E46F95">
      <w:r>
        <w:tab/>
      </w:r>
      <w:r>
        <w:tab/>
      </w:r>
      <w:r>
        <w:tab/>
      </w:r>
      <w:r>
        <w:tab/>
      </w:r>
      <w:r>
        <w:tab/>
      </w:r>
      <w:r>
        <w:tab/>
      </w:r>
      <w:r w:rsidR="00BB5B32">
        <w:t>_____________________________</w:t>
      </w:r>
    </w:p>
    <w:p w14:paraId="08C4F072" w14:textId="77777777" w:rsidR="00E46F95" w:rsidRPr="00CD2D91" w:rsidRDefault="00E46F95" w:rsidP="00E46F95">
      <w:r w:rsidRPr="00CD2D91">
        <w:t>STATE OF NORTH CAROLINA</w:t>
      </w:r>
      <w:r w:rsidRPr="00CD2D91">
        <w:tab/>
        <w:t>)</w:t>
      </w:r>
    </w:p>
    <w:p w14:paraId="06490DF3" w14:textId="77777777" w:rsidR="00E46F95" w:rsidRPr="00CD2D91" w:rsidRDefault="00E46F95" w:rsidP="00E46F95">
      <w:pPr>
        <w:spacing w:line="240" w:lineRule="exact"/>
        <w:ind w:left="5040" w:hanging="1440"/>
        <w:rPr>
          <w:u w:val="single"/>
        </w:rPr>
      </w:pPr>
      <w:r w:rsidRPr="00CD2D91">
        <w:t>)</w:t>
      </w:r>
      <w:r w:rsidRPr="00CD2D91">
        <w:tab/>
      </w:r>
    </w:p>
    <w:p w14:paraId="3BA8D029" w14:textId="77777777" w:rsidR="00E46F95" w:rsidRPr="00B92D6C" w:rsidRDefault="00E46F95" w:rsidP="00E46F95">
      <w:pPr>
        <w:rPr>
          <w:u w:val="single"/>
        </w:rPr>
      </w:pPr>
      <w:r>
        <w:t xml:space="preserve">                        v</w:t>
      </w:r>
      <w:r w:rsidRPr="00CD2D91">
        <w:t>.</w:t>
      </w:r>
      <w:r w:rsidRPr="00CD2D91">
        <w:tab/>
      </w:r>
      <w:r w:rsidRPr="00CD2D91">
        <w:tab/>
      </w:r>
      <w:r w:rsidRPr="00CD2D91">
        <w:tab/>
        <w:t>)</w:t>
      </w:r>
      <w:r w:rsidRPr="00CD2D91">
        <w:tab/>
      </w:r>
      <w:r>
        <w:rPr>
          <w:b/>
        </w:rPr>
        <w:tab/>
      </w:r>
      <w:r w:rsidRPr="00E36C39">
        <w:rPr>
          <w:b/>
          <w:u w:val="single"/>
        </w:rPr>
        <w:t xml:space="preserve">MOTION </w:t>
      </w:r>
      <w:r>
        <w:rPr>
          <w:b/>
          <w:u w:val="single"/>
        </w:rPr>
        <w:t>TO DISMISS</w:t>
      </w:r>
    </w:p>
    <w:p w14:paraId="5646872A" w14:textId="77777777" w:rsidR="00E46F95" w:rsidRPr="00CD2D91" w:rsidRDefault="00E46F95" w:rsidP="00E46F95">
      <w:pPr>
        <w:ind w:left="2880" w:firstLine="720"/>
      </w:pPr>
      <w:r w:rsidRPr="00CD2D91">
        <w:t>)</w:t>
      </w:r>
    </w:p>
    <w:p w14:paraId="6ABC4107" w14:textId="5FC89AB4" w:rsidR="00E46F95" w:rsidRPr="00CD2D91" w:rsidRDefault="00BB5B32" w:rsidP="00E46F95">
      <w:r>
        <w:t>XXXXXXXXXX</w:t>
      </w:r>
      <w:r w:rsidR="00E46F95">
        <w:tab/>
      </w:r>
      <w:r w:rsidR="00622769">
        <w:tab/>
      </w:r>
      <w:r w:rsidR="00622769">
        <w:tab/>
      </w:r>
      <w:r w:rsidR="00E46F95" w:rsidRPr="00CD2D91">
        <w:t>)</w:t>
      </w:r>
    </w:p>
    <w:p w14:paraId="5317A386" w14:textId="77777777" w:rsidR="00E46F95" w:rsidRPr="00CD2D91" w:rsidRDefault="00E46F95" w:rsidP="00E46F95">
      <w:pPr>
        <w:spacing w:line="240" w:lineRule="exact"/>
      </w:pPr>
      <w:r w:rsidRPr="00CD2D91">
        <w:t xml:space="preserve">                   Defendant.</w:t>
      </w:r>
      <w:r w:rsidRPr="00CD2D91">
        <w:tab/>
      </w:r>
      <w:r w:rsidRPr="00CD2D91">
        <w:tab/>
        <w:t>)</w:t>
      </w:r>
    </w:p>
    <w:p w14:paraId="4CE940CB" w14:textId="77777777" w:rsidR="004D37BF" w:rsidRPr="00CD2D91" w:rsidRDefault="004D37BF" w:rsidP="007C6623">
      <w:pPr>
        <w:spacing w:line="276" w:lineRule="auto"/>
      </w:pPr>
    </w:p>
    <w:p w14:paraId="2B6781EA" w14:textId="77777777" w:rsidR="004D37BF" w:rsidRPr="00CD2D91" w:rsidRDefault="004D37BF" w:rsidP="00B647C5">
      <w:pPr>
        <w:spacing w:line="23" w:lineRule="atLeast"/>
      </w:pPr>
    </w:p>
    <w:p w14:paraId="3CEFC380" w14:textId="220284B1" w:rsidR="00073BAA" w:rsidRDefault="004D37BF">
      <w:pPr>
        <w:spacing w:line="276" w:lineRule="auto"/>
      </w:pPr>
      <w:r w:rsidRPr="00CD2D91">
        <w:tab/>
      </w:r>
      <w:r w:rsidR="00272BD6" w:rsidRPr="005477A6">
        <w:t xml:space="preserve">NOW COMES the Defendant, </w:t>
      </w:r>
      <w:r w:rsidR="00BB5B32">
        <w:t>XXXXXXX</w:t>
      </w:r>
      <w:r w:rsidR="00E46F95">
        <w:t>, by and through counsel</w:t>
      </w:r>
      <w:r w:rsidR="00272BD6" w:rsidRPr="005477A6">
        <w:t xml:space="preserve">, and respectfully moves this Court </w:t>
      </w:r>
      <w:r w:rsidR="00DF024D" w:rsidRPr="00F04B06">
        <w:t>to dismiss the above captioned charge pursuant to N.C.G.S. § 15A-954</w:t>
      </w:r>
      <w:r w:rsidR="00DF024D">
        <w:t>(a)(4)</w:t>
      </w:r>
      <w:r w:rsidR="00DF024D" w:rsidRPr="00F04B06">
        <w:t>; the United States Constitution, Amendment V</w:t>
      </w:r>
      <w:r w:rsidR="00FD1EF5">
        <w:t>,VIII, and</w:t>
      </w:r>
      <w:r w:rsidR="00DF024D" w:rsidRPr="00F04B06">
        <w:t xml:space="preserve"> XIV; the Constitution of North Carolina, </w:t>
      </w:r>
      <w:r w:rsidR="00DF024D">
        <w:t>a</w:t>
      </w:r>
      <w:r w:rsidR="00DF024D" w:rsidRPr="00F04B06">
        <w:t>rticle I, Sections 19</w:t>
      </w:r>
      <w:r w:rsidR="00FD1EF5">
        <w:t>,</w:t>
      </w:r>
      <w:r w:rsidR="00DF024D" w:rsidRPr="00F04B06">
        <w:t xml:space="preserve"> 23</w:t>
      </w:r>
      <w:r w:rsidR="00FD1EF5">
        <w:t xml:space="preserve">, and 27; </w:t>
      </w:r>
      <w:r w:rsidR="00FD1EF5">
        <w:rPr>
          <w:i/>
        </w:rPr>
        <w:t>Miller v. Alabama</w:t>
      </w:r>
      <w:r w:rsidR="00FD1EF5">
        <w:t xml:space="preserve">, 567 U.S. 460 (2012); </w:t>
      </w:r>
      <w:r w:rsidR="00FD1EF5">
        <w:rPr>
          <w:i/>
        </w:rPr>
        <w:t>Graham v. Florida</w:t>
      </w:r>
      <w:r w:rsidR="00FD1EF5">
        <w:t xml:space="preserve">, 560 U.S. 48 (2010); and </w:t>
      </w:r>
      <w:r w:rsidR="00FD1EF5">
        <w:rPr>
          <w:i/>
        </w:rPr>
        <w:t>Roper v. Simmons</w:t>
      </w:r>
      <w:r w:rsidR="00950F3E">
        <w:t>, 543 U.S. 551 (2005), and related case law.</w:t>
      </w:r>
    </w:p>
    <w:p w14:paraId="552BE901" w14:textId="77777777" w:rsidR="00073BAA" w:rsidRDefault="00073BAA">
      <w:pPr>
        <w:spacing w:line="276" w:lineRule="auto"/>
      </w:pPr>
    </w:p>
    <w:p w14:paraId="1096AD99" w14:textId="77777777" w:rsidR="00073BAA" w:rsidRDefault="00DF024D">
      <w:pPr>
        <w:pStyle w:val="ListParagraph"/>
        <w:numPr>
          <w:ilvl w:val="0"/>
          <w:numId w:val="11"/>
        </w:numPr>
        <w:spacing w:line="276" w:lineRule="auto"/>
        <w:ind w:left="0" w:firstLine="0"/>
        <w:jc w:val="center"/>
        <w:rPr>
          <w:b/>
          <w:sz w:val="24"/>
          <w:szCs w:val="24"/>
        </w:rPr>
      </w:pPr>
      <w:r w:rsidRPr="00CA579B">
        <w:rPr>
          <w:b/>
          <w:sz w:val="24"/>
          <w:szCs w:val="24"/>
        </w:rPr>
        <w:t>Factual Background</w:t>
      </w:r>
    </w:p>
    <w:p w14:paraId="7F8E7F13" w14:textId="77777777" w:rsidR="00073BAA" w:rsidRDefault="00073BAA">
      <w:pPr>
        <w:pStyle w:val="ListParagraph"/>
        <w:spacing w:line="276" w:lineRule="auto"/>
        <w:ind w:left="0"/>
        <w:jc w:val="center"/>
        <w:rPr>
          <w:b/>
          <w:sz w:val="24"/>
          <w:szCs w:val="24"/>
        </w:rPr>
      </w:pPr>
    </w:p>
    <w:p w14:paraId="18ADFA75" w14:textId="77777777" w:rsidR="00073BAA" w:rsidRDefault="007074CC">
      <w:pPr>
        <w:pStyle w:val="ListParagraph"/>
        <w:numPr>
          <w:ilvl w:val="1"/>
          <w:numId w:val="11"/>
        </w:numPr>
        <w:spacing w:line="276" w:lineRule="auto"/>
        <w:ind w:left="0" w:firstLine="0"/>
        <w:jc w:val="center"/>
        <w:rPr>
          <w:i/>
          <w:sz w:val="24"/>
          <w:szCs w:val="24"/>
        </w:rPr>
      </w:pPr>
      <w:r>
        <w:rPr>
          <w:i/>
          <w:sz w:val="24"/>
          <w:szCs w:val="24"/>
        </w:rPr>
        <w:t>The Charge</w:t>
      </w:r>
    </w:p>
    <w:p w14:paraId="656E2C66" w14:textId="77777777" w:rsidR="00073BAA" w:rsidRDefault="00FD1EF5">
      <w:pPr>
        <w:pStyle w:val="ListParagraph"/>
        <w:spacing w:line="276" w:lineRule="auto"/>
        <w:ind w:left="0"/>
        <w:rPr>
          <w:b/>
          <w:sz w:val="24"/>
          <w:szCs w:val="24"/>
        </w:rPr>
      </w:pPr>
      <w:r>
        <w:rPr>
          <w:b/>
          <w:sz w:val="24"/>
          <w:szCs w:val="24"/>
        </w:rPr>
        <w:tab/>
      </w:r>
    </w:p>
    <w:p w14:paraId="4EAA3359" w14:textId="3C113FFE" w:rsidR="00073BAA" w:rsidRDefault="007C6623">
      <w:pPr>
        <w:pStyle w:val="ListParagraph"/>
        <w:spacing w:line="276" w:lineRule="auto"/>
        <w:ind w:left="0"/>
        <w:rPr>
          <w:sz w:val="24"/>
        </w:rPr>
      </w:pPr>
      <w:r>
        <w:rPr>
          <w:b/>
          <w:sz w:val="24"/>
          <w:szCs w:val="24"/>
        </w:rPr>
        <w:tab/>
      </w:r>
      <w:r w:rsidR="00E46F95">
        <w:rPr>
          <w:sz w:val="24"/>
        </w:rPr>
        <w:t>T</w:t>
      </w:r>
      <w:r w:rsidR="00E46F95" w:rsidRPr="00E46F95">
        <w:rPr>
          <w:sz w:val="24"/>
        </w:rPr>
        <w:t>he State alleges that</w:t>
      </w:r>
      <w:r w:rsidR="00BB5B32">
        <w:rPr>
          <w:sz w:val="24"/>
        </w:rPr>
        <w:t xml:space="preserve"> CLIENT</w:t>
      </w:r>
      <w:r w:rsidR="00645DE6">
        <w:rPr>
          <w:sz w:val="24"/>
        </w:rPr>
        <w:t xml:space="preserve"> broke into an apartment and stole items from within.</w:t>
      </w:r>
      <w:r w:rsidR="00E46F95" w:rsidRPr="00E46F95">
        <w:rPr>
          <w:sz w:val="24"/>
        </w:rPr>
        <w:t xml:space="preserve"> </w:t>
      </w:r>
      <w:r w:rsidR="00B85D2A">
        <w:rPr>
          <w:sz w:val="24"/>
        </w:rPr>
        <w:t>On the date of the</w:t>
      </w:r>
      <w:r w:rsidR="00456648">
        <w:rPr>
          <w:sz w:val="24"/>
        </w:rPr>
        <w:t xml:space="preserve"> alleged offense</w:t>
      </w:r>
      <w:r w:rsidR="00BB6163">
        <w:rPr>
          <w:sz w:val="24"/>
        </w:rPr>
        <w:t>,</w:t>
      </w:r>
      <w:r w:rsidR="00025422">
        <w:rPr>
          <w:sz w:val="24"/>
        </w:rPr>
        <w:t xml:space="preserve"> </w:t>
      </w:r>
      <w:r w:rsidR="00BB5B32">
        <w:rPr>
          <w:sz w:val="24"/>
        </w:rPr>
        <w:t xml:space="preserve">CLIENT </w:t>
      </w:r>
      <w:r w:rsidR="00B85D2A">
        <w:rPr>
          <w:sz w:val="24"/>
        </w:rPr>
        <w:t>was sixteen years old</w:t>
      </w:r>
      <w:r w:rsidR="00E46F95">
        <w:rPr>
          <w:sz w:val="24"/>
        </w:rPr>
        <w:t>.</w:t>
      </w:r>
      <w:r w:rsidR="00025422">
        <w:rPr>
          <w:sz w:val="24"/>
        </w:rPr>
        <w:t xml:space="preserve"> </w:t>
      </w:r>
      <w:r w:rsidR="00834B81">
        <w:rPr>
          <w:sz w:val="24"/>
        </w:rPr>
        <w:t>The</w:t>
      </w:r>
      <w:r w:rsidR="00B85D2A">
        <w:rPr>
          <w:sz w:val="24"/>
        </w:rPr>
        <w:t xml:space="preserve"> District Attorney</w:t>
      </w:r>
      <w:r w:rsidR="00834B81">
        <w:rPr>
          <w:sz w:val="24"/>
        </w:rPr>
        <w:t xml:space="preserve"> now</w:t>
      </w:r>
      <w:r w:rsidR="00025422">
        <w:rPr>
          <w:sz w:val="24"/>
        </w:rPr>
        <w:t xml:space="preserve"> </w:t>
      </w:r>
      <w:r w:rsidR="00834B81">
        <w:rPr>
          <w:sz w:val="24"/>
        </w:rPr>
        <w:t xml:space="preserve">seeks to brand </w:t>
      </w:r>
      <w:r w:rsidR="00950F3E">
        <w:rPr>
          <w:sz w:val="24"/>
        </w:rPr>
        <w:t>him</w:t>
      </w:r>
      <w:r w:rsidR="00834B81">
        <w:rPr>
          <w:sz w:val="24"/>
        </w:rPr>
        <w:t xml:space="preserve"> a felon </w:t>
      </w:r>
      <w:r w:rsidR="00950F3E">
        <w:rPr>
          <w:sz w:val="24"/>
        </w:rPr>
        <w:t xml:space="preserve">for life </w:t>
      </w:r>
      <w:r w:rsidR="00834B81">
        <w:rPr>
          <w:sz w:val="24"/>
        </w:rPr>
        <w:t xml:space="preserve">and send him to prison for </w:t>
      </w:r>
      <w:r w:rsidR="00C61856">
        <w:rPr>
          <w:sz w:val="24"/>
        </w:rPr>
        <w:t xml:space="preserve">over </w:t>
      </w:r>
      <w:r w:rsidR="00834B81">
        <w:rPr>
          <w:sz w:val="24"/>
        </w:rPr>
        <w:t>a year.</w:t>
      </w:r>
    </w:p>
    <w:p w14:paraId="7280C58E" w14:textId="77777777" w:rsidR="00073BAA" w:rsidRDefault="00E46F95">
      <w:pPr>
        <w:pStyle w:val="ListParagraph"/>
        <w:tabs>
          <w:tab w:val="left" w:pos="4122"/>
        </w:tabs>
        <w:spacing w:line="276" w:lineRule="auto"/>
        <w:ind w:left="0"/>
        <w:jc w:val="both"/>
        <w:rPr>
          <w:sz w:val="24"/>
        </w:rPr>
      </w:pPr>
      <w:r>
        <w:rPr>
          <w:sz w:val="24"/>
        </w:rPr>
        <w:tab/>
      </w:r>
    </w:p>
    <w:p w14:paraId="5127CBD3" w14:textId="77777777" w:rsidR="00073BAA" w:rsidRDefault="00E46F95">
      <w:pPr>
        <w:pStyle w:val="ListParagraph"/>
        <w:numPr>
          <w:ilvl w:val="1"/>
          <w:numId w:val="11"/>
        </w:numPr>
        <w:spacing w:line="276" w:lineRule="auto"/>
        <w:ind w:left="0" w:firstLine="0"/>
        <w:jc w:val="center"/>
        <w:rPr>
          <w:i/>
          <w:sz w:val="24"/>
        </w:rPr>
      </w:pPr>
      <w:r w:rsidRPr="00E46F95">
        <w:rPr>
          <w:i/>
          <w:sz w:val="24"/>
        </w:rPr>
        <w:t>The Nature of Youth</w:t>
      </w:r>
    </w:p>
    <w:p w14:paraId="7EC34593" w14:textId="77777777" w:rsidR="00073BAA" w:rsidRDefault="00073BAA">
      <w:pPr>
        <w:spacing w:line="276" w:lineRule="auto"/>
        <w:ind w:firstLine="720"/>
      </w:pPr>
    </w:p>
    <w:p w14:paraId="24511622" w14:textId="77777777" w:rsidR="00073BAA" w:rsidRDefault="00E46F95">
      <w:pPr>
        <w:spacing w:line="276" w:lineRule="auto"/>
        <w:ind w:firstLine="720"/>
      </w:pPr>
      <w:r>
        <w:t>Children today</w:t>
      </w:r>
      <w:r w:rsidR="00025422">
        <w:t xml:space="preserve"> </w:t>
      </w:r>
      <w:r>
        <w:t>exhibit the same</w:t>
      </w:r>
      <w:r w:rsidR="00025422">
        <w:t xml:space="preserve"> </w:t>
      </w:r>
      <w:r>
        <w:t>“</w:t>
      </w:r>
      <w:r w:rsidRPr="001F5449">
        <w:t>lack of maturity and underdeveloped sense of responsibility</w:t>
      </w:r>
      <w:r w:rsidR="00843DB1">
        <w:t xml:space="preserve">” as </w:t>
      </w:r>
      <w:r w:rsidR="00C61856">
        <w:t>their peers</w:t>
      </w:r>
      <w:r w:rsidR="00843DB1">
        <w:t xml:space="preserve"> 30 years ago. </w:t>
      </w:r>
      <w:r w:rsidR="0003385D">
        <w:t>Their decisions are just as “</w:t>
      </w:r>
      <w:r w:rsidR="0003385D" w:rsidRPr="0003385D">
        <w:t>impetuous and ill</w:t>
      </w:r>
      <w:r w:rsidR="00DD3E12">
        <w:t>-</w:t>
      </w:r>
      <w:r w:rsidR="0003385D" w:rsidRPr="0003385D">
        <w:t>considered</w:t>
      </w:r>
      <w:r w:rsidR="007D5EBD">
        <w:t>,</w:t>
      </w:r>
      <w:r w:rsidR="0003385D">
        <w:t>”</w:t>
      </w:r>
      <w:r w:rsidR="00025422">
        <w:t xml:space="preserve"> </w:t>
      </w:r>
      <w:r w:rsidR="004E13BE">
        <w:rPr>
          <w:i/>
        </w:rPr>
        <w:t>Johnso</w:t>
      </w:r>
      <w:r w:rsidR="004E13BE" w:rsidRPr="004E13BE">
        <w:rPr>
          <w:i/>
        </w:rPr>
        <w:t>n v. Texas</w:t>
      </w:r>
      <w:r w:rsidR="004E13BE">
        <w:t xml:space="preserve">, </w:t>
      </w:r>
      <w:r w:rsidR="004E13BE" w:rsidRPr="004E13BE">
        <w:t>509 US 350</w:t>
      </w:r>
      <w:r w:rsidR="004E13BE">
        <w:t xml:space="preserve">, 367 (1993), </w:t>
      </w:r>
      <w:r w:rsidR="007D5EBD" w:rsidRPr="004E13BE">
        <w:t>they</w:t>
      </w:r>
      <w:r w:rsidR="007D5EBD">
        <w:t xml:space="preserve"> are still “</w:t>
      </w:r>
      <w:r w:rsidR="007D5EBD" w:rsidRPr="007D5EBD">
        <w:t>more vulnerable or susceptible to negative influences and outside pressures, including peer pressure</w:t>
      </w:r>
      <w:r w:rsidR="009931FC">
        <w:t>,</w:t>
      </w:r>
      <w:r w:rsidR="00DD3E12">
        <w:t>”</w:t>
      </w:r>
      <w:r w:rsidR="00025422">
        <w:t xml:space="preserve"> </w:t>
      </w:r>
      <w:r w:rsidR="00950F3E">
        <w:rPr>
          <w:i/>
        </w:rPr>
        <w:t>Roper</w:t>
      </w:r>
      <w:r w:rsidR="00950F3E">
        <w:t xml:space="preserve"> at</w:t>
      </w:r>
      <w:r w:rsidR="00025422">
        <w:t xml:space="preserve"> </w:t>
      </w:r>
      <w:r w:rsidR="004E13BE" w:rsidRPr="004E13BE">
        <w:t>543 U</w:t>
      </w:r>
      <w:r w:rsidR="00950F3E">
        <w:t>.</w:t>
      </w:r>
      <w:r w:rsidR="004E13BE" w:rsidRPr="004E13BE">
        <w:t>S</w:t>
      </w:r>
      <w:r w:rsidR="00950F3E">
        <w:t>.</w:t>
      </w:r>
      <w:r w:rsidR="00025422">
        <w:t xml:space="preserve"> </w:t>
      </w:r>
      <w:r w:rsidR="00950F3E">
        <w:t>at</w:t>
      </w:r>
      <w:r w:rsidR="004E13BE">
        <w:t xml:space="preserve"> 569</w:t>
      </w:r>
      <w:r w:rsidR="00950F3E">
        <w:t>,</w:t>
      </w:r>
      <w:r w:rsidR="00025422">
        <w:t xml:space="preserve"> </w:t>
      </w:r>
      <w:r w:rsidR="007D5EBD" w:rsidRPr="007D5EBD">
        <w:t>their cha</w:t>
      </w:r>
      <w:r w:rsidR="007D5EBD">
        <w:t xml:space="preserve">racters remain </w:t>
      </w:r>
      <w:r w:rsidR="00DD3E12">
        <w:t>“</w:t>
      </w:r>
      <w:r w:rsidR="007D5EBD">
        <w:t>not as well formed</w:t>
      </w:r>
      <w:r w:rsidR="00DD3E12">
        <w:t>”</w:t>
      </w:r>
      <w:r w:rsidR="007D5EBD">
        <w:t xml:space="preserve"> as those of adults</w:t>
      </w:r>
      <w:r w:rsidR="004E13BE">
        <w:t xml:space="preserve">, </w:t>
      </w:r>
      <w:r w:rsidR="00DD3E12">
        <w:rPr>
          <w:i/>
        </w:rPr>
        <w:t>i</w:t>
      </w:r>
      <w:r w:rsidR="004E13BE" w:rsidRPr="004E13BE">
        <w:rPr>
          <w:i/>
        </w:rPr>
        <w:t>d.</w:t>
      </w:r>
      <w:r w:rsidR="004E13BE">
        <w:t xml:space="preserve"> at </w:t>
      </w:r>
      <w:r w:rsidR="007D5EBD" w:rsidRPr="007D5EBD">
        <w:t>570</w:t>
      </w:r>
      <w:r w:rsidR="00B22093">
        <w:t xml:space="preserve">. </w:t>
      </w:r>
      <w:r w:rsidR="007D5EBD">
        <w:t>But children</w:t>
      </w:r>
      <w:r w:rsidR="00C61856">
        <w:t xml:space="preserve"> today</w:t>
      </w:r>
      <w:r w:rsidR="007D5EBD">
        <w:t xml:space="preserve">—unlike </w:t>
      </w:r>
      <w:r w:rsidR="003565D4">
        <w:t xml:space="preserve">those of </w:t>
      </w:r>
      <w:r w:rsidR="007D5EBD">
        <w:t>their parents’ generation—</w:t>
      </w:r>
      <w:r w:rsidR="003565D4">
        <w:t>may</w:t>
      </w:r>
      <w:r w:rsidR="00C61856">
        <w:t xml:space="preserve"> not </w:t>
      </w:r>
      <w:r w:rsidR="003565D4">
        <w:t>be executed</w:t>
      </w:r>
      <w:r w:rsidR="00C61856">
        <w:t xml:space="preserve"> for </w:t>
      </w:r>
      <w:r w:rsidR="003565D4">
        <w:t xml:space="preserve">even </w:t>
      </w:r>
      <w:r w:rsidR="00C61856">
        <w:t xml:space="preserve">the most heinous crimes, </w:t>
      </w:r>
      <w:r w:rsidR="00DD3E12">
        <w:rPr>
          <w:i/>
        </w:rPr>
        <w:t>i</w:t>
      </w:r>
      <w:r w:rsidR="004E13BE">
        <w:rPr>
          <w:i/>
        </w:rPr>
        <w:t xml:space="preserve">d. </w:t>
      </w:r>
      <w:r w:rsidR="004E13BE">
        <w:t>at</w:t>
      </w:r>
      <w:r w:rsidR="00025422">
        <w:t xml:space="preserve"> 551</w:t>
      </w:r>
      <w:r w:rsidR="007D5EBD">
        <w:t xml:space="preserve">, </w:t>
      </w:r>
      <w:r w:rsidR="00C61856">
        <w:t xml:space="preserve">nor </w:t>
      </w:r>
      <w:r w:rsidR="003565D4">
        <w:t xml:space="preserve">subject to </w:t>
      </w:r>
      <w:r w:rsidR="00C61856">
        <w:t>mandatory life without parole,</w:t>
      </w:r>
      <w:r w:rsidR="00025422">
        <w:t xml:space="preserve"> </w:t>
      </w:r>
      <w:r w:rsidR="00950F3E">
        <w:rPr>
          <w:i/>
        </w:rPr>
        <w:t>Miller</w:t>
      </w:r>
      <w:r w:rsidR="004E13BE" w:rsidRPr="004E13BE">
        <w:t>,</w:t>
      </w:r>
      <w:r w:rsidR="00025422">
        <w:t xml:space="preserve"> </w:t>
      </w:r>
      <w:r w:rsidR="007D5EBD" w:rsidRPr="00311CA0">
        <w:t>567 U.S.</w:t>
      </w:r>
      <w:r w:rsidR="00025422">
        <w:t xml:space="preserve"> </w:t>
      </w:r>
      <w:r w:rsidR="00950F3E">
        <w:t>at 471</w:t>
      </w:r>
      <w:r w:rsidR="007D5EBD">
        <w:t xml:space="preserve">, nor life without parole at all for </w:t>
      </w:r>
      <w:r w:rsidR="003565D4">
        <w:t>offense</w:t>
      </w:r>
      <w:r w:rsidR="004E13BE">
        <w:t>s</w:t>
      </w:r>
      <w:r w:rsidR="003565D4">
        <w:t xml:space="preserve"> other than homicide</w:t>
      </w:r>
      <w:r w:rsidR="007D5EBD">
        <w:t>,</w:t>
      </w:r>
      <w:r w:rsidR="00025422">
        <w:t xml:space="preserve"> </w:t>
      </w:r>
      <w:r w:rsidR="007D5EBD">
        <w:rPr>
          <w:i/>
        </w:rPr>
        <w:t>Graham</w:t>
      </w:r>
      <w:r w:rsidR="001D5714" w:rsidRPr="001D5714">
        <w:t>, 560 U.S. at</w:t>
      </w:r>
      <w:r w:rsidR="00025422">
        <w:t xml:space="preserve"> </w:t>
      </w:r>
      <w:r w:rsidR="00DD3E12">
        <w:t>82</w:t>
      </w:r>
      <w:r w:rsidR="007D5EBD">
        <w:t>.</w:t>
      </w:r>
      <w:r w:rsidR="00EC67B9">
        <w:t xml:space="preserve"> N</w:t>
      </w:r>
      <w:r w:rsidR="0003385D">
        <w:t xml:space="preserve">othing about these essential qualities of </w:t>
      </w:r>
      <w:r w:rsidR="00B22093">
        <w:t xml:space="preserve">youth </w:t>
      </w:r>
      <w:r w:rsidR="0003385D">
        <w:t xml:space="preserve">will change on </w:t>
      </w:r>
      <w:r w:rsidR="00BB6163">
        <w:t xml:space="preserve">December 1, </w:t>
      </w:r>
      <w:r w:rsidR="007D5EBD">
        <w:t>2019</w:t>
      </w:r>
      <w:r w:rsidR="00EC67B9">
        <w:t xml:space="preserve">, and nothing about the nature of their </w:t>
      </w:r>
      <w:r w:rsidR="00950F3E">
        <w:t>crimes</w:t>
      </w:r>
      <w:r w:rsidR="00EC67B9">
        <w:t xml:space="preserve"> makes children </w:t>
      </w:r>
      <w:r w:rsidR="00950F3E">
        <w:t xml:space="preserve">who commit minor offenses any more mature than those who commit murder. </w:t>
      </w:r>
      <w:r w:rsidR="00950F3E">
        <w:rPr>
          <w:i/>
        </w:rPr>
        <w:t>Miller</w:t>
      </w:r>
      <w:r w:rsidR="00950F3E">
        <w:t>, 567 U.S. at 465.</w:t>
      </w:r>
    </w:p>
    <w:p w14:paraId="55CAE866" w14:textId="5F5AC8DE" w:rsidR="00073BAA" w:rsidRDefault="004E13BE">
      <w:pPr>
        <w:spacing w:line="276" w:lineRule="auto"/>
        <w:ind w:firstLine="720"/>
      </w:pPr>
      <w:r>
        <w:t>Nevertheless, as</w:t>
      </w:r>
      <w:r w:rsidR="009F15BC">
        <w:t xml:space="preserve"> of December 1, 2019, minors </w:t>
      </w:r>
      <w:r w:rsidR="006B2BBC">
        <w:t xml:space="preserve">like </w:t>
      </w:r>
      <w:r w:rsidR="00BB5B32">
        <w:t>CLIENT</w:t>
      </w:r>
      <w:r w:rsidR="00645DE6">
        <w:t xml:space="preserve">, </w:t>
      </w:r>
      <w:r w:rsidR="009F15BC">
        <w:t xml:space="preserve">accused of </w:t>
      </w:r>
      <w:r w:rsidR="00025422">
        <w:t>Felony Breaking or Entering</w:t>
      </w:r>
      <w:r w:rsidR="009F15BC">
        <w:t xml:space="preserve"> will presumptively be prosecuted </w:t>
      </w:r>
      <w:r w:rsidR="00025422">
        <w:t xml:space="preserve">as children </w:t>
      </w:r>
      <w:r w:rsidR="009F15BC">
        <w:t xml:space="preserve">in juvenile court, not </w:t>
      </w:r>
      <w:r w:rsidR="00025422">
        <w:t xml:space="preserve">as adults </w:t>
      </w:r>
      <w:r w:rsidR="009F15BC">
        <w:t xml:space="preserve">in criminal court. </w:t>
      </w:r>
      <w:r w:rsidR="00BB5B32">
        <w:t>CLIENT</w:t>
      </w:r>
      <w:r w:rsidR="006B2BBC">
        <w:t xml:space="preserve">, however, </w:t>
      </w:r>
      <w:r w:rsidR="00843DB1">
        <w:t xml:space="preserve">belongs to the </w:t>
      </w:r>
      <w:r w:rsidR="00EC67B9">
        <w:t xml:space="preserve">unfortunate class of </w:t>
      </w:r>
      <w:r>
        <w:t>child defendants</w:t>
      </w:r>
      <w:r w:rsidR="00025422">
        <w:t xml:space="preserve"> </w:t>
      </w:r>
      <w:r w:rsidR="004A2221">
        <w:t>still subject to mandatory prosecution as</w:t>
      </w:r>
      <w:r>
        <w:t xml:space="preserve"> an</w:t>
      </w:r>
      <w:r w:rsidR="004A2221">
        <w:t xml:space="preserve"> adult, caught between the passage and effective date of </w:t>
      </w:r>
      <w:r w:rsidR="004A2221">
        <w:lastRenderedPageBreak/>
        <w:t>Raise the Age</w:t>
      </w:r>
      <w:r w:rsidR="00025422">
        <w:t xml:space="preserve"> legislation</w:t>
      </w:r>
      <w:r w:rsidR="004A2221">
        <w:t xml:space="preserve">. This Motion contends that the State cannot, by legislative fiat, accept that </w:t>
      </w:r>
      <w:r w:rsidR="009F15BC">
        <w:t xml:space="preserve">treating kids as adults is </w:t>
      </w:r>
      <w:r w:rsidR="004A2221">
        <w:t>wrongheaded, amoral, and impractical</w:t>
      </w:r>
      <w:r>
        <w:t xml:space="preserve">—and continue to do so for thousands more children for </w:t>
      </w:r>
      <w:r w:rsidR="00073BAA">
        <w:t>over</w:t>
      </w:r>
      <w:r w:rsidR="00025422">
        <w:t xml:space="preserve"> </w:t>
      </w:r>
      <w:r w:rsidR="00073BAA">
        <w:t>three</w:t>
      </w:r>
      <w:r>
        <w:t xml:space="preserve"> more years</w:t>
      </w:r>
      <w:r w:rsidR="004A2221">
        <w:t>.</w:t>
      </w:r>
    </w:p>
    <w:p w14:paraId="644266EC" w14:textId="77777777" w:rsidR="00073BAA" w:rsidRDefault="00073BAA">
      <w:pPr>
        <w:pStyle w:val="ListParagraph"/>
        <w:spacing w:line="276" w:lineRule="auto"/>
        <w:ind w:left="0"/>
        <w:rPr>
          <w:sz w:val="24"/>
        </w:rPr>
      </w:pPr>
    </w:p>
    <w:p w14:paraId="62734BB7" w14:textId="77777777" w:rsidR="00073BAA" w:rsidRDefault="009020B1">
      <w:pPr>
        <w:pStyle w:val="ListParagraph"/>
        <w:numPr>
          <w:ilvl w:val="1"/>
          <w:numId w:val="11"/>
        </w:numPr>
        <w:spacing w:line="276" w:lineRule="auto"/>
        <w:ind w:left="0" w:firstLine="0"/>
        <w:jc w:val="center"/>
        <w:rPr>
          <w:i/>
          <w:sz w:val="24"/>
        </w:rPr>
      </w:pPr>
      <w:r w:rsidRPr="007C6623">
        <w:rPr>
          <w:i/>
          <w:sz w:val="24"/>
        </w:rPr>
        <w:t>Raise the Age and Juvenile Jurisdiction</w:t>
      </w:r>
      <w:r w:rsidR="00BE48D2">
        <w:rPr>
          <w:i/>
          <w:sz w:val="24"/>
        </w:rPr>
        <w:t xml:space="preserve"> in North Carolina</w:t>
      </w:r>
    </w:p>
    <w:p w14:paraId="7C2C9F77" w14:textId="77777777" w:rsidR="00073BAA" w:rsidRDefault="007C6623">
      <w:pPr>
        <w:pStyle w:val="ListParagraph"/>
        <w:spacing w:line="276" w:lineRule="auto"/>
        <w:ind w:left="0"/>
        <w:rPr>
          <w:b/>
          <w:sz w:val="24"/>
        </w:rPr>
      </w:pPr>
      <w:r>
        <w:rPr>
          <w:b/>
          <w:sz w:val="24"/>
        </w:rPr>
        <w:tab/>
      </w:r>
    </w:p>
    <w:p w14:paraId="56EE9F53" w14:textId="7CE3ED09" w:rsidR="00073BAA" w:rsidRDefault="009F6CD6">
      <w:pPr>
        <w:pStyle w:val="ListParagraph"/>
        <w:spacing w:line="276" w:lineRule="auto"/>
        <w:ind w:left="0"/>
        <w:rPr>
          <w:sz w:val="24"/>
        </w:rPr>
      </w:pPr>
      <w:r>
        <w:rPr>
          <w:b/>
          <w:sz w:val="24"/>
        </w:rPr>
        <w:tab/>
      </w:r>
      <w:r w:rsidR="009020B1" w:rsidRPr="007C6623">
        <w:rPr>
          <w:sz w:val="24"/>
        </w:rPr>
        <w:t xml:space="preserve">Chief Justice Mark Martin convened the North Carolina Commission on the Administration of Law and Justice in September 2015 to make recommendations for improvement to North Carolina’s justice system. </w:t>
      </w:r>
      <w:r w:rsidR="003F1C35" w:rsidRPr="00A76942">
        <w:rPr>
          <w:sz w:val="24"/>
        </w:rPr>
        <w:t>The</w:t>
      </w:r>
      <w:r w:rsidR="009020B1" w:rsidRPr="00A76942">
        <w:rPr>
          <w:sz w:val="24"/>
        </w:rPr>
        <w:t xml:space="preserve"> Commission, which included a diverse group of stakeholders and which solicited input from criminal justice participants and the general public,</w:t>
      </w:r>
      <w:r w:rsidR="003F1C35" w:rsidRPr="00A76942">
        <w:rPr>
          <w:sz w:val="24"/>
        </w:rPr>
        <w:t xml:space="preserve"> produced a report recommending that North Carolina raise the age for adult prosecution to eighteen years old, with transfer provisions for younger offenders.</w:t>
      </w:r>
      <w:r w:rsidR="00025422">
        <w:rPr>
          <w:sz w:val="24"/>
        </w:rPr>
        <w:t xml:space="preserve"> </w:t>
      </w:r>
      <w:r w:rsidR="003F1C35" w:rsidRPr="00A76942">
        <w:rPr>
          <w:i/>
          <w:sz w:val="24"/>
        </w:rPr>
        <w:t>See</w:t>
      </w:r>
      <w:r w:rsidR="00025422">
        <w:rPr>
          <w:i/>
          <w:sz w:val="24"/>
        </w:rPr>
        <w:t xml:space="preserve"> </w:t>
      </w:r>
      <w:r w:rsidR="000E46F8" w:rsidRPr="00A76942">
        <w:rPr>
          <w:sz w:val="24"/>
        </w:rPr>
        <w:t>North Carolina Commission on the Administration of Law and Justice,</w:t>
      </w:r>
      <w:r w:rsidR="003F1C35" w:rsidRPr="00A76942">
        <w:rPr>
          <w:i/>
          <w:sz w:val="24"/>
        </w:rPr>
        <w:t xml:space="preserve"> Criminal Investigation &amp; Adjudicat</w:t>
      </w:r>
      <w:r w:rsidR="000E46F8" w:rsidRPr="00A76942">
        <w:rPr>
          <w:i/>
          <w:sz w:val="24"/>
        </w:rPr>
        <w:t>ion Committee Report</w:t>
      </w:r>
      <w:r w:rsidR="00A76942" w:rsidRPr="00A76942">
        <w:rPr>
          <w:i/>
          <w:sz w:val="24"/>
        </w:rPr>
        <w:t>, Appendix A: Juvenile Reinvestment</w:t>
      </w:r>
      <w:r w:rsidR="00F9773D">
        <w:rPr>
          <w:i/>
          <w:sz w:val="24"/>
        </w:rPr>
        <w:t xml:space="preserve"> </w:t>
      </w:r>
      <w:r w:rsidR="000E46F8" w:rsidRPr="00A76942">
        <w:rPr>
          <w:sz w:val="24"/>
        </w:rPr>
        <w:t>(201</w:t>
      </w:r>
      <w:r w:rsidR="00A76942">
        <w:rPr>
          <w:sz w:val="24"/>
        </w:rPr>
        <w:t>7</w:t>
      </w:r>
      <w:r w:rsidR="000E46F8" w:rsidRPr="00A76942">
        <w:rPr>
          <w:sz w:val="24"/>
        </w:rPr>
        <w:t>)</w:t>
      </w:r>
      <w:r w:rsidR="003F1C35" w:rsidRPr="00A76942">
        <w:rPr>
          <w:sz w:val="24"/>
        </w:rPr>
        <w:t xml:space="preserve">, </w:t>
      </w:r>
      <w:r w:rsidR="003F1C35" w:rsidRPr="00A76942">
        <w:rPr>
          <w:i/>
          <w:sz w:val="24"/>
        </w:rPr>
        <w:t xml:space="preserve">available at </w:t>
      </w:r>
      <w:r w:rsidR="003F1C35" w:rsidRPr="00A76942">
        <w:rPr>
          <w:sz w:val="24"/>
        </w:rPr>
        <w:t>https://nccalj.org/wp-</w:t>
      </w:r>
      <w:r w:rsidR="000E46F8" w:rsidRPr="00A76942">
        <w:rPr>
          <w:sz w:val="24"/>
        </w:rPr>
        <w:t>c</w:t>
      </w:r>
      <w:r w:rsidR="003F1C35" w:rsidRPr="00A76942">
        <w:rPr>
          <w:sz w:val="24"/>
        </w:rPr>
        <w:t>ontent/uploads/2017/pdf/nccalj_criminal_investigation_and_adjudication_committee_report_juvenile_reinvestment.pdf [hereinafter “the Report”].</w:t>
      </w:r>
      <w:r w:rsidR="00025422">
        <w:rPr>
          <w:sz w:val="24"/>
        </w:rPr>
        <w:t xml:space="preserve"> </w:t>
      </w:r>
      <w:r w:rsidR="003F1C35">
        <w:rPr>
          <w:sz w:val="24"/>
        </w:rPr>
        <w:t xml:space="preserve">The Commission concluded as follows: </w:t>
      </w:r>
    </w:p>
    <w:p w14:paraId="1B63202D" w14:textId="77777777" w:rsidR="00073BAA" w:rsidRDefault="00073BAA">
      <w:pPr>
        <w:pStyle w:val="ListParagraph"/>
        <w:spacing w:line="276" w:lineRule="auto"/>
        <w:ind w:left="0"/>
        <w:rPr>
          <w:sz w:val="24"/>
        </w:rPr>
      </w:pPr>
    </w:p>
    <w:p w14:paraId="44D61CD6" w14:textId="77777777" w:rsidR="00073BAA" w:rsidRDefault="007C6623">
      <w:pPr>
        <w:pStyle w:val="ListParagraph"/>
        <w:spacing w:line="276" w:lineRule="auto"/>
        <w:ind w:right="720"/>
        <w:jc w:val="both"/>
        <w:rPr>
          <w:sz w:val="24"/>
        </w:rPr>
      </w:pPr>
      <w:r>
        <w:rPr>
          <w:sz w:val="24"/>
        </w:rPr>
        <w:t>[T]</w:t>
      </w:r>
      <w:r w:rsidR="003F1C35">
        <w:rPr>
          <w:sz w:val="24"/>
        </w:rPr>
        <w:t>hat the vast majority of North Carolina’s sixteen- and seventeen-year-olds commit</w:t>
      </w:r>
      <w:r w:rsidR="008C634A">
        <w:rPr>
          <w:sz w:val="24"/>
        </w:rPr>
        <w:t xml:space="preserve"> </w:t>
      </w:r>
      <w:r w:rsidR="003F1C35">
        <w:rPr>
          <w:sz w:val="24"/>
        </w:rPr>
        <w:t xml:space="preserve">misdemeanors and </w:t>
      </w:r>
      <w:r w:rsidR="000E3EC6">
        <w:rPr>
          <w:sz w:val="24"/>
        </w:rPr>
        <w:t>n</w:t>
      </w:r>
      <w:r w:rsidR="003F1C35">
        <w:rPr>
          <w:sz w:val="24"/>
        </w:rPr>
        <w:t>onviolent felonies;</w:t>
      </w:r>
      <w:r w:rsidR="00ED3B08">
        <w:rPr>
          <w:sz w:val="24"/>
        </w:rPr>
        <w:t xml:space="preserve"> that raising the age will make </w:t>
      </w:r>
      <w:r w:rsidR="003F1C35">
        <w:rPr>
          <w:sz w:val="24"/>
        </w:rPr>
        <w:t xml:space="preserve">North Carolina safer and will yield economic benefit to the state and its citizens; </w:t>
      </w:r>
      <w:r w:rsidR="000E3EC6">
        <w:rPr>
          <w:sz w:val="24"/>
        </w:rPr>
        <w:t>a</w:t>
      </w:r>
      <w:r w:rsidR="003F1C35">
        <w:rPr>
          <w:sz w:val="24"/>
        </w:rPr>
        <w:t>nd that raising the age has been successfully implemente</w:t>
      </w:r>
      <w:r w:rsidR="00ED3B08">
        <w:rPr>
          <w:sz w:val="24"/>
        </w:rPr>
        <w:t xml:space="preserve">d in other states, is supported </w:t>
      </w:r>
      <w:r w:rsidR="003F1C35">
        <w:rPr>
          <w:sz w:val="24"/>
        </w:rPr>
        <w:t>by scientif</w:t>
      </w:r>
      <w:r w:rsidR="000E3EC6">
        <w:rPr>
          <w:sz w:val="24"/>
        </w:rPr>
        <w:t>ic</w:t>
      </w:r>
      <w:r w:rsidR="003F1C35">
        <w:rPr>
          <w:sz w:val="24"/>
        </w:rPr>
        <w:t xml:space="preserve"> research, and would remove a competitive disadvantage that North C</w:t>
      </w:r>
      <w:r>
        <w:rPr>
          <w:sz w:val="24"/>
        </w:rPr>
        <w:t>arolina places on its citizens.</w:t>
      </w:r>
    </w:p>
    <w:p w14:paraId="651D2A50" w14:textId="77777777" w:rsidR="00073BAA" w:rsidRDefault="00073BAA">
      <w:pPr>
        <w:pStyle w:val="ListParagraph"/>
        <w:spacing w:line="276" w:lineRule="auto"/>
        <w:ind w:left="0"/>
        <w:rPr>
          <w:sz w:val="24"/>
        </w:rPr>
      </w:pPr>
    </w:p>
    <w:p w14:paraId="2AED2079" w14:textId="77777777" w:rsidR="00073BAA" w:rsidRDefault="00025422">
      <w:pPr>
        <w:pStyle w:val="ListParagraph"/>
        <w:spacing w:line="276" w:lineRule="auto"/>
        <w:ind w:left="0"/>
        <w:rPr>
          <w:sz w:val="24"/>
        </w:rPr>
      </w:pPr>
      <w:r>
        <w:rPr>
          <w:i/>
          <w:sz w:val="24"/>
        </w:rPr>
        <w:t>Id</w:t>
      </w:r>
      <w:r w:rsidR="005E023A">
        <w:rPr>
          <w:i/>
          <w:sz w:val="24"/>
        </w:rPr>
        <w:t>.</w:t>
      </w:r>
      <w:r>
        <w:rPr>
          <w:i/>
          <w:sz w:val="24"/>
        </w:rPr>
        <w:t xml:space="preserve"> </w:t>
      </w:r>
      <w:r w:rsidR="003F1C35">
        <w:rPr>
          <w:sz w:val="24"/>
        </w:rPr>
        <w:t xml:space="preserve">at 44. </w:t>
      </w:r>
    </w:p>
    <w:p w14:paraId="66037A87" w14:textId="419A314C" w:rsidR="00073BAA" w:rsidRPr="00073BAA" w:rsidRDefault="007C6623">
      <w:pPr>
        <w:pStyle w:val="ListParagraph"/>
        <w:spacing w:line="276" w:lineRule="auto"/>
        <w:ind w:left="0"/>
        <w:rPr>
          <w:sz w:val="24"/>
        </w:rPr>
      </w:pPr>
      <w:r>
        <w:rPr>
          <w:sz w:val="24"/>
        </w:rPr>
        <w:tab/>
      </w:r>
      <w:r w:rsidR="001C5D56">
        <w:rPr>
          <w:sz w:val="24"/>
        </w:rPr>
        <w:t xml:space="preserve">At the time of the Report, only North Carolina and New York automatically tried sixteen-year-olds as adults; five states set the age at seventeen and the remainder at eighteen. </w:t>
      </w:r>
      <w:r w:rsidR="001C5D56">
        <w:rPr>
          <w:i/>
          <w:sz w:val="24"/>
        </w:rPr>
        <w:t>Id</w:t>
      </w:r>
      <w:r w:rsidR="00025422">
        <w:rPr>
          <w:i/>
          <w:sz w:val="24"/>
        </w:rPr>
        <w:t xml:space="preserve">. </w:t>
      </w:r>
      <w:r w:rsidR="001C5D56" w:rsidRPr="00CA579B">
        <w:rPr>
          <w:sz w:val="24"/>
        </w:rPr>
        <w:t xml:space="preserve">Since publication of the Report, </w:t>
      </w:r>
      <w:r w:rsidR="001C5D56" w:rsidRPr="00CA579B">
        <w:rPr>
          <w:sz w:val="24"/>
          <w:szCs w:val="24"/>
        </w:rPr>
        <w:t xml:space="preserve">New York raised the age </w:t>
      </w:r>
      <w:r w:rsidR="00025422">
        <w:rPr>
          <w:sz w:val="24"/>
          <w:szCs w:val="24"/>
        </w:rPr>
        <w:t>of</w:t>
      </w:r>
      <w:r w:rsidR="001C5D56" w:rsidRPr="00CA579B">
        <w:rPr>
          <w:sz w:val="24"/>
          <w:szCs w:val="24"/>
        </w:rPr>
        <w:t xml:space="preserve"> adult criminal responsibility to eighteen. </w:t>
      </w:r>
      <w:r w:rsidR="00CA579B">
        <w:rPr>
          <w:i/>
          <w:sz w:val="24"/>
          <w:szCs w:val="24"/>
        </w:rPr>
        <w:t xml:space="preserve">See </w:t>
      </w:r>
      <w:r w:rsidR="00CA579B" w:rsidRPr="00CA579B">
        <w:rPr>
          <w:sz w:val="24"/>
          <w:szCs w:val="24"/>
        </w:rPr>
        <w:t>NY CLS Family Ct Act § 30</w:t>
      </w:r>
      <w:r w:rsidR="00EA17B3">
        <w:rPr>
          <w:sz w:val="24"/>
          <w:szCs w:val="24"/>
        </w:rPr>
        <w:t>1</w:t>
      </w:r>
      <w:r w:rsidR="00CA579B" w:rsidRPr="00CA579B">
        <w:rPr>
          <w:sz w:val="24"/>
          <w:szCs w:val="24"/>
        </w:rPr>
        <w:t>.</w:t>
      </w:r>
      <w:r w:rsidR="00EA17B3">
        <w:rPr>
          <w:sz w:val="24"/>
          <w:szCs w:val="24"/>
        </w:rPr>
        <w:t>2</w:t>
      </w:r>
      <w:r w:rsidR="00073BAA">
        <w:rPr>
          <w:sz w:val="24"/>
          <w:szCs w:val="24"/>
        </w:rPr>
        <w:t xml:space="preserve"> </w:t>
      </w:r>
      <w:r w:rsidR="00073BAA">
        <w:rPr>
          <w:i/>
          <w:sz w:val="24"/>
        </w:rPr>
        <w:t>et seq</w:t>
      </w:r>
      <w:r w:rsidR="00C57D26">
        <w:rPr>
          <w:i/>
          <w:sz w:val="24"/>
        </w:rPr>
        <w:t xml:space="preserve"> </w:t>
      </w:r>
      <w:r w:rsidR="00C57D26">
        <w:rPr>
          <w:sz w:val="24"/>
        </w:rPr>
        <w:t>[Appendix A to this Motion]</w:t>
      </w:r>
    </w:p>
    <w:p w14:paraId="2E806C34" w14:textId="26F06836" w:rsidR="00073BAA" w:rsidRDefault="007C6623">
      <w:pPr>
        <w:pStyle w:val="ListParagraph"/>
        <w:spacing w:line="276" w:lineRule="auto"/>
        <w:ind w:left="0"/>
        <w:rPr>
          <w:sz w:val="24"/>
        </w:rPr>
      </w:pPr>
      <w:r>
        <w:rPr>
          <w:i/>
          <w:sz w:val="24"/>
        </w:rPr>
        <w:tab/>
      </w:r>
      <w:r w:rsidR="009020B1">
        <w:rPr>
          <w:sz w:val="24"/>
        </w:rPr>
        <w:t>The 2017 Juvenile Justice Reinvestment Act passed as part of the 2017 state budget in June 201</w:t>
      </w:r>
      <w:r w:rsidR="00A05DA3">
        <w:rPr>
          <w:sz w:val="24"/>
        </w:rPr>
        <w:t>7</w:t>
      </w:r>
      <w:r w:rsidR="001C5D56">
        <w:rPr>
          <w:sz w:val="24"/>
        </w:rPr>
        <w:t xml:space="preserve"> with bipartisan support</w:t>
      </w:r>
      <w:r w:rsidR="009020B1">
        <w:rPr>
          <w:sz w:val="24"/>
        </w:rPr>
        <w:t>. The JJRA</w:t>
      </w:r>
      <w:r w:rsidR="00130261">
        <w:rPr>
          <w:sz w:val="24"/>
        </w:rPr>
        <w:t xml:space="preserve"> adopted the majority of the Commission’s recommendations, including Raise the Age: </w:t>
      </w:r>
      <w:r w:rsidR="00025422">
        <w:rPr>
          <w:sz w:val="24"/>
        </w:rPr>
        <w:t>i</w:t>
      </w:r>
      <w:r w:rsidR="00130261">
        <w:rPr>
          <w:sz w:val="24"/>
        </w:rPr>
        <w:t>t increased the age of juvenile court jurisdiction to eighteen</w:t>
      </w:r>
      <w:r w:rsidR="00025422">
        <w:rPr>
          <w:sz w:val="24"/>
        </w:rPr>
        <w:t xml:space="preserve"> and required mandatory transfer to Superior Court for trial for class A through G felonies</w:t>
      </w:r>
      <w:r w:rsidR="00130261">
        <w:rPr>
          <w:sz w:val="24"/>
        </w:rPr>
        <w:t xml:space="preserve"> </w:t>
      </w:r>
      <w:r w:rsidR="00025422">
        <w:rPr>
          <w:sz w:val="24"/>
        </w:rPr>
        <w:t xml:space="preserve">and motor </w:t>
      </w:r>
      <w:r w:rsidR="00130261">
        <w:rPr>
          <w:sz w:val="24"/>
        </w:rPr>
        <w:t xml:space="preserve">vehicle offenses. </w:t>
      </w:r>
      <w:r w:rsidR="00130261">
        <w:rPr>
          <w:i/>
          <w:sz w:val="24"/>
        </w:rPr>
        <w:t xml:space="preserve">See </w:t>
      </w:r>
      <w:r w:rsidR="00130261">
        <w:rPr>
          <w:sz w:val="24"/>
        </w:rPr>
        <w:t xml:space="preserve">N.C.G.S. §§ 7B-1601 </w:t>
      </w:r>
      <w:r w:rsidR="00130261">
        <w:rPr>
          <w:i/>
          <w:sz w:val="24"/>
        </w:rPr>
        <w:t>et seq.</w:t>
      </w:r>
      <w:r w:rsidR="00025422">
        <w:rPr>
          <w:sz w:val="24"/>
        </w:rPr>
        <w:t xml:space="preserve"> However, </w:t>
      </w:r>
      <w:r w:rsidR="00073BAA">
        <w:rPr>
          <w:sz w:val="24"/>
        </w:rPr>
        <w:t xml:space="preserve">for </w:t>
      </w:r>
      <w:r w:rsidR="00445A40">
        <w:rPr>
          <w:sz w:val="24"/>
        </w:rPr>
        <w:t>class H and I felonies</w:t>
      </w:r>
      <w:r w:rsidR="00130261">
        <w:rPr>
          <w:sz w:val="24"/>
        </w:rPr>
        <w:t xml:space="preserve"> committed by </w:t>
      </w:r>
      <w:r>
        <w:rPr>
          <w:sz w:val="24"/>
        </w:rPr>
        <w:t>sixteen-year-olds</w:t>
      </w:r>
      <w:r w:rsidR="00025422">
        <w:rPr>
          <w:sz w:val="24"/>
        </w:rPr>
        <w:t>,</w:t>
      </w:r>
      <w:r>
        <w:rPr>
          <w:sz w:val="24"/>
        </w:rPr>
        <w:t xml:space="preserve"> N.C.G.S. § 7B-1601</w:t>
      </w:r>
      <w:r w:rsidR="00025422">
        <w:rPr>
          <w:sz w:val="24"/>
        </w:rPr>
        <w:t xml:space="preserve">, the </w:t>
      </w:r>
      <w:r w:rsidR="00073BAA">
        <w:rPr>
          <w:sz w:val="24"/>
        </w:rPr>
        <w:t xml:space="preserve">court must affirmatively find after </w:t>
      </w:r>
      <w:r w:rsidR="00025422">
        <w:rPr>
          <w:sz w:val="24"/>
        </w:rPr>
        <w:t xml:space="preserve">hearing that </w:t>
      </w:r>
      <w:r w:rsidR="00073BAA">
        <w:rPr>
          <w:sz w:val="24"/>
        </w:rPr>
        <w:t>“</w:t>
      </w:r>
      <w:r w:rsidR="00073BAA" w:rsidRPr="00073BAA">
        <w:rPr>
          <w:sz w:val="24"/>
        </w:rPr>
        <w:t>the protection of the public and the needs of the juvenile will b</w:t>
      </w:r>
      <w:r w:rsidR="00073BAA">
        <w:rPr>
          <w:sz w:val="24"/>
        </w:rPr>
        <w:t>e served by transfer to superior court;” otherwise, the juvenile court retains exclusive jurisdiction</w:t>
      </w:r>
      <w:r w:rsidR="00D11D46">
        <w:rPr>
          <w:sz w:val="24"/>
        </w:rPr>
        <w:t xml:space="preserve">. N.C.G.S. § </w:t>
      </w:r>
      <w:r w:rsidR="00D11D46">
        <w:rPr>
          <w:sz w:val="24"/>
        </w:rPr>
        <w:lastRenderedPageBreak/>
        <w:t>7B-2200.5</w:t>
      </w:r>
      <w:r w:rsidR="00073BAA">
        <w:rPr>
          <w:sz w:val="24"/>
        </w:rPr>
        <w:t>; N.C.G.S. § 7B-2203</w:t>
      </w:r>
      <w:r w:rsidR="00D11D46">
        <w:rPr>
          <w:sz w:val="24"/>
        </w:rPr>
        <w:t>.</w:t>
      </w:r>
      <w:r w:rsidR="00025422">
        <w:rPr>
          <w:sz w:val="24"/>
        </w:rPr>
        <w:t xml:space="preserve"> </w:t>
      </w:r>
      <w:r w:rsidR="00A436E7">
        <w:rPr>
          <w:sz w:val="24"/>
        </w:rPr>
        <w:t>At a transfer hearing, the co</w:t>
      </w:r>
      <w:r w:rsidR="00073BAA">
        <w:rPr>
          <w:sz w:val="24"/>
        </w:rPr>
        <w:t>urt must consider eight factors, and the juvenile has an opportunity to object and be heard</w:t>
      </w:r>
      <w:r w:rsidR="00A436E7">
        <w:rPr>
          <w:sz w:val="24"/>
        </w:rPr>
        <w:t>. N.C.G.S. § 7B-2203.</w:t>
      </w:r>
      <w:r w:rsidR="00BE48D2">
        <w:rPr>
          <w:rStyle w:val="FootnoteReference"/>
          <w:sz w:val="24"/>
        </w:rPr>
        <w:footnoteReference w:id="1"/>
      </w:r>
    </w:p>
    <w:p w14:paraId="0FC3D498" w14:textId="77777777" w:rsidR="00073BAA" w:rsidRDefault="00073BAA" w:rsidP="00073BAA">
      <w:pPr>
        <w:pStyle w:val="ListParagraph"/>
        <w:spacing w:line="276" w:lineRule="auto"/>
        <w:ind w:left="0" w:firstLine="720"/>
        <w:rPr>
          <w:sz w:val="24"/>
        </w:rPr>
      </w:pPr>
      <w:r>
        <w:rPr>
          <w:sz w:val="24"/>
        </w:rPr>
        <w:t>According to its own terms, the JJRA’s expansion of juvenile court jurisdiction applies to “offenses committed on or after” December 1, 2019.</w:t>
      </w:r>
    </w:p>
    <w:p w14:paraId="66BF8C8E" w14:textId="77777777" w:rsidR="00073BAA" w:rsidRDefault="00073BAA">
      <w:pPr>
        <w:pStyle w:val="ListParagraph"/>
        <w:spacing w:line="276" w:lineRule="auto"/>
        <w:rPr>
          <w:sz w:val="24"/>
        </w:rPr>
      </w:pPr>
    </w:p>
    <w:p w14:paraId="5D800C69" w14:textId="77777777" w:rsidR="00073BAA" w:rsidRDefault="007C6623">
      <w:pPr>
        <w:pStyle w:val="ListParagraph"/>
        <w:numPr>
          <w:ilvl w:val="0"/>
          <w:numId w:val="11"/>
        </w:numPr>
        <w:spacing w:line="276" w:lineRule="auto"/>
        <w:ind w:left="0" w:firstLine="0"/>
        <w:jc w:val="center"/>
        <w:rPr>
          <w:b/>
          <w:sz w:val="24"/>
          <w:szCs w:val="24"/>
        </w:rPr>
      </w:pPr>
      <w:r>
        <w:rPr>
          <w:b/>
          <w:sz w:val="24"/>
          <w:szCs w:val="24"/>
        </w:rPr>
        <w:t>Legal Grounds</w:t>
      </w:r>
    </w:p>
    <w:p w14:paraId="1468F668" w14:textId="77777777" w:rsidR="00073BAA" w:rsidRDefault="00073BAA">
      <w:pPr>
        <w:pStyle w:val="ListParagraph"/>
        <w:spacing w:line="276" w:lineRule="auto"/>
        <w:ind w:left="0"/>
        <w:jc w:val="center"/>
        <w:rPr>
          <w:b/>
          <w:sz w:val="24"/>
          <w:szCs w:val="24"/>
        </w:rPr>
      </w:pPr>
    </w:p>
    <w:p w14:paraId="19C1BA97" w14:textId="77777777" w:rsidR="00073BAA" w:rsidRDefault="00CA579B">
      <w:pPr>
        <w:pStyle w:val="ListParagraph"/>
        <w:numPr>
          <w:ilvl w:val="1"/>
          <w:numId w:val="11"/>
        </w:numPr>
        <w:spacing w:line="276" w:lineRule="auto"/>
        <w:ind w:left="0" w:firstLine="0"/>
        <w:jc w:val="center"/>
        <w:rPr>
          <w:i/>
          <w:sz w:val="24"/>
          <w:szCs w:val="24"/>
        </w:rPr>
      </w:pPr>
      <w:r w:rsidRPr="00CA579B">
        <w:rPr>
          <w:i/>
          <w:sz w:val="24"/>
          <w:szCs w:val="24"/>
        </w:rPr>
        <w:t>Equal Protection</w:t>
      </w:r>
    </w:p>
    <w:p w14:paraId="381FFF48" w14:textId="77777777" w:rsidR="00073BAA" w:rsidRDefault="00073BAA">
      <w:pPr>
        <w:pStyle w:val="ListParagraph"/>
        <w:spacing w:line="276" w:lineRule="auto"/>
        <w:ind w:left="0"/>
        <w:jc w:val="center"/>
        <w:rPr>
          <w:i/>
          <w:sz w:val="24"/>
          <w:szCs w:val="24"/>
        </w:rPr>
      </w:pPr>
    </w:p>
    <w:p w14:paraId="3E91517C" w14:textId="7976F61F" w:rsidR="00073BAA" w:rsidRDefault="007C6623">
      <w:pPr>
        <w:pStyle w:val="ListParagraph"/>
        <w:spacing w:line="276" w:lineRule="auto"/>
        <w:ind w:left="0"/>
        <w:rPr>
          <w:sz w:val="24"/>
          <w:szCs w:val="24"/>
        </w:rPr>
      </w:pPr>
      <w:r>
        <w:rPr>
          <w:i/>
          <w:sz w:val="24"/>
          <w:szCs w:val="24"/>
        </w:rPr>
        <w:tab/>
      </w:r>
      <w:r w:rsidR="00F80FA3" w:rsidRPr="007C6623">
        <w:rPr>
          <w:sz w:val="24"/>
          <w:szCs w:val="24"/>
        </w:rPr>
        <w:t>The Equal Protection Clause of the United States Constitution protects against “disparity in treatment by a State between classes of individuals whose situations</w:t>
      </w:r>
      <w:r w:rsidR="0011415C">
        <w:rPr>
          <w:sz w:val="24"/>
          <w:szCs w:val="24"/>
        </w:rPr>
        <w:t xml:space="preserve"> are arguably indistinguishable.</w:t>
      </w:r>
      <w:r w:rsidR="00F80FA3" w:rsidRPr="007C6623">
        <w:rPr>
          <w:sz w:val="24"/>
          <w:szCs w:val="24"/>
        </w:rPr>
        <w:t xml:space="preserve">” </w:t>
      </w:r>
      <w:r w:rsidR="00F80FA3" w:rsidRPr="007C6623">
        <w:rPr>
          <w:i/>
          <w:sz w:val="24"/>
          <w:szCs w:val="24"/>
        </w:rPr>
        <w:t>Ross v. Moffitt</w:t>
      </w:r>
      <w:r w:rsidR="00F80FA3" w:rsidRPr="007C6623">
        <w:rPr>
          <w:sz w:val="24"/>
          <w:szCs w:val="24"/>
        </w:rPr>
        <w:t>, 417 U.S. 600, 609 (1974)</w:t>
      </w:r>
      <w:r w:rsidR="00FA6C76">
        <w:rPr>
          <w:sz w:val="24"/>
          <w:szCs w:val="24"/>
        </w:rPr>
        <w:t>.</w:t>
      </w:r>
      <w:r w:rsidR="00AC2B65">
        <w:rPr>
          <w:sz w:val="24"/>
          <w:szCs w:val="24"/>
        </w:rPr>
        <w:t xml:space="preserve"> </w:t>
      </w:r>
      <w:r w:rsidR="00FA6C76">
        <w:rPr>
          <w:sz w:val="24"/>
          <w:szCs w:val="24"/>
        </w:rPr>
        <w:t>“</w:t>
      </w:r>
      <w:r w:rsidR="00FA6C76" w:rsidRPr="00A83E54">
        <w:rPr>
          <w:sz w:val="24"/>
          <w:szCs w:val="24"/>
        </w:rPr>
        <w:t xml:space="preserve">The general rule is that legislation is presumed to be valid and will be sustained if the </w:t>
      </w:r>
      <w:r w:rsidR="00FA6C76" w:rsidRPr="002D7C99">
        <w:rPr>
          <w:sz w:val="24"/>
          <w:szCs w:val="24"/>
        </w:rPr>
        <w:t xml:space="preserve">classification drawn by the statute is rationally related to a legitimate state interest.” </w:t>
      </w:r>
      <w:r w:rsidR="00F80FA3" w:rsidRPr="002D7C99">
        <w:rPr>
          <w:i/>
          <w:sz w:val="24"/>
          <w:szCs w:val="24"/>
        </w:rPr>
        <w:t>Cleburne v. Cleburne Living Center, Inc.</w:t>
      </w:r>
      <w:r w:rsidR="00F80FA3" w:rsidRPr="002D7C99">
        <w:rPr>
          <w:sz w:val="24"/>
          <w:szCs w:val="24"/>
        </w:rPr>
        <w:t>, 473 U.S. 432, 44</w:t>
      </w:r>
      <w:r w:rsidR="00FA6C76" w:rsidRPr="002D7C99">
        <w:rPr>
          <w:sz w:val="24"/>
          <w:szCs w:val="24"/>
        </w:rPr>
        <w:t>0</w:t>
      </w:r>
      <w:r w:rsidR="00F80FA3" w:rsidRPr="002D7C99">
        <w:rPr>
          <w:sz w:val="24"/>
          <w:szCs w:val="24"/>
        </w:rPr>
        <w:t xml:space="preserve"> (1985). </w:t>
      </w:r>
      <w:r w:rsidR="00FA6C76" w:rsidRPr="002D7C99">
        <w:rPr>
          <w:sz w:val="24"/>
          <w:szCs w:val="24"/>
        </w:rPr>
        <w:t xml:space="preserve">However, classifications with no rational or legitimate justification will be struck down, </w:t>
      </w:r>
      <w:r w:rsidR="00FA6C76" w:rsidRPr="002D7C99">
        <w:rPr>
          <w:i/>
          <w:sz w:val="24"/>
          <w:szCs w:val="24"/>
        </w:rPr>
        <w:t xml:space="preserve">e.g. </w:t>
      </w:r>
      <w:r w:rsidR="002D7C99" w:rsidRPr="002D7C99">
        <w:rPr>
          <w:i/>
          <w:sz w:val="24"/>
          <w:szCs w:val="24"/>
        </w:rPr>
        <w:t>United States Dep’t of Agric. v. Moreno</w:t>
      </w:r>
      <w:r w:rsidR="002D7C99">
        <w:rPr>
          <w:sz w:val="24"/>
          <w:szCs w:val="24"/>
        </w:rPr>
        <w:t>, 413 U.S. 528, 538</w:t>
      </w:r>
      <w:r w:rsidR="002D7C99" w:rsidRPr="002D7C99">
        <w:rPr>
          <w:sz w:val="24"/>
          <w:szCs w:val="24"/>
        </w:rPr>
        <w:t xml:space="preserve"> (1973)</w:t>
      </w:r>
      <w:r w:rsidR="002D7C99">
        <w:rPr>
          <w:sz w:val="24"/>
          <w:szCs w:val="24"/>
        </w:rPr>
        <w:t xml:space="preserve"> (invalidating a provision of the Food Stamp Act of 1964 because the challenged classification was “wholly without any rational basis”), as will </w:t>
      </w:r>
      <w:r w:rsidR="007F46A4">
        <w:rPr>
          <w:sz w:val="24"/>
          <w:szCs w:val="24"/>
        </w:rPr>
        <w:t>classifications</w:t>
      </w:r>
      <w:r w:rsidR="002D7C99">
        <w:rPr>
          <w:sz w:val="24"/>
          <w:szCs w:val="24"/>
        </w:rPr>
        <w:t xml:space="preserve"> entirely unrelated to their purported goals, </w:t>
      </w:r>
      <w:r w:rsidR="002D7C99" w:rsidRPr="00CF12A9">
        <w:rPr>
          <w:i/>
          <w:sz w:val="24"/>
          <w:szCs w:val="24"/>
        </w:rPr>
        <w:t>e.g.</w:t>
      </w:r>
      <w:r w:rsidR="00CA0285">
        <w:rPr>
          <w:i/>
          <w:sz w:val="24"/>
          <w:szCs w:val="24"/>
        </w:rPr>
        <w:t xml:space="preserve"> </w:t>
      </w:r>
      <w:r w:rsidR="00FA6C76" w:rsidRPr="00FA6C76">
        <w:rPr>
          <w:i/>
          <w:sz w:val="24"/>
          <w:szCs w:val="24"/>
        </w:rPr>
        <w:t>Cleburne</w:t>
      </w:r>
      <w:r w:rsidR="00FA6C76">
        <w:rPr>
          <w:sz w:val="24"/>
          <w:szCs w:val="24"/>
        </w:rPr>
        <w:t xml:space="preserve">, 473 U.S. at 435 (employing rational basis review to strike down a </w:t>
      </w:r>
      <w:r w:rsidR="00FA6C76" w:rsidRPr="00E65B83">
        <w:rPr>
          <w:sz w:val="24"/>
          <w:szCs w:val="24"/>
        </w:rPr>
        <w:t>zoning ordinance requiring permits for</w:t>
      </w:r>
      <w:r w:rsidR="00FA6C76">
        <w:rPr>
          <w:sz w:val="24"/>
          <w:szCs w:val="24"/>
        </w:rPr>
        <w:t xml:space="preserve"> group homes for the mentally disabled but not others)</w:t>
      </w:r>
      <w:r w:rsidR="00C67287">
        <w:rPr>
          <w:sz w:val="24"/>
          <w:szCs w:val="24"/>
        </w:rPr>
        <w:t>.</w:t>
      </w:r>
    </w:p>
    <w:p w14:paraId="67EFE433" w14:textId="6FDA9663" w:rsidR="00073BAA" w:rsidRDefault="00C67287">
      <w:pPr>
        <w:pStyle w:val="ListParagraph"/>
        <w:spacing w:line="276" w:lineRule="auto"/>
        <w:ind w:left="0"/>
        <w:rPr>
          <w:rStyle w:val="ssrfcpassagedeactivated"/>
          <w:sz w:val="24"/>
          <w:szCs w:val="24"/>
        </w:rPr>
      </w:pPr>
      <w:r>
        <w:rPr>
          <w:sz w:val="24"/>
          <w:szCs w:val="24"/>
        </w:rPr>
        <w:tab/>
        <w:t xml:space="preserve">In interpreting </w:t>
      </w:r>
      <w:r w:rsidRPr="003347A8">
        <w:rPr>
          <w:sz w:val="24"/>
          <w:szCs w:val="24"/>
        </w:rPr>
        <w:t xml:space="preserve">the </w:t>
      </w:r>
      <w:r>
        <w:rPr>
          <w:sz w:val="24"/>
          <w:szCs w:val="24"/>
        </w:rPr>
        <w:t xml:space="preserve">parallel clause of </w:t>
      </w:r>
      <w:r w:rsidR="0011415C">
        <w:rPr>
          <w:sz w:val="24"/>
          <w:szCs w:val="24"/>
        </w:rPr>
        <w:t>our</w:t>
      </w:r>
      <w:r>
        <w:rPr>
          <w:sz w:val="24"/>
          <w:szCs w:val="24"/>
        </w:rPr>
        <w:t xml:space="preserve"> state constitution’s Equal Protection Clause, “the </w:t>
      </w:r>
      <w:r w:rsidRPr="003347A8">
        <w:rPr>
          <w:sz w:val="24"/>
          <w:szCs w:val="24"/>
        </w:rPr>
        <w:t>meaning given by the Supreme Court of the United States to even an identical term in the Constitution of the United States is, though highly persuasiv</w:t>
      </w:r>
      <w:r>
        <w:rPr>
          <w:sz w:val="24"/>
          <w:szCs w:val="24"/>
        </w:rPr>
        <w:t>e, not binding upon this Court.”</w:t>
      </w:r>
      <w:r w:rsidR="00A05DA3">
        <w:rPr>
          <w:sz w:val="24"/>
          <w:szCs w:val="24"/>
        </w:rPr>
        <w:t xml:space="preserve"> </w:t>
      </w:r>
      <w:r w:rsidRPr="00C67287">
        <w:rPr>
          <w:i/>
          <w:sz w:val="24"/>
          <w:szCs w:val="24"/>
        </w:rPr>
        <w:t>Watch Co. v. Brand Distributors</w:t>
      </w:r>
      <w:r w:rsidRPr="003347A8">
        <w:rPr>
          <w:sz w:val="24"/>
          <w:szCs w:val="24"/>
        </w:rPr>
        <w:t xml:space="preserve">, 285 N.C. </w:t>
      </w:r>
      <w:r>
        <w:rPr>
          <w:sz w:val="24"/>
          <w:szCs w:val="24"/>
        </w:rPr>
        <w:t xml:space="preserve">467, </w:t>
      </w:r>
      <w:r w:rsidRPr="003347A8">
        <w:rPr>
          <w:sz w:val="24"/>
          <w:szCs w:val="24"/>
        </w:rPr>
        <w:t>474</w:t>
      </w:r>
      <w:r>
        <w:rPr>
          <w:sz w:val="24"/>
          <w:szCs w:val="24"/>
        </w:rPr>
        <w:t xml:space="preserve"> (1974). </w:t>
      </w:r>
      <w:r w:rsidR="007F46A4">
        <w:rPr>
          <w:sz w:val="24"/>
          <w:szCs w:val="24"/>
        </w:rPr>
        <w:t xml:space="preserve">A </w:t>
      </w:r>
      <w:r w:rsidR="0011415C">
        <w:rPr>
          <w:sz w:val="24"/>
          <w:szCs w:val="24"/>
        </w:rPr>
        <w:t xml:space="preserve">criminal </w:t>
      </w:r>
      <w:r w:rsidR="00A05DA3">
        <w:rPr>
          <w:sz w:val="24"/>
          <w:szCs w:val="24"/>
        </w:rPr>
        <w:t>statute violates the Equal P</w:t>
      </w:r>
      <w:r w:rsidR="007F46A4">
        <w:rPr>
          <w:sz w:val="24"/>
          <w:szCs w:val="24"/>
        </w:rPr>
        <w:t>rotection</w:t>
      </w:r>
      <w:r w:rsidR="00A05DA3">
        <w:rPr>
          <w:sz w:val="24"/>
          <w:szCs w:val="24"/>
        </w:rPr>
        <w:t xml:space="preserve"> C</w:t>
      </w:r>
      <w:r w:rsidR="007F46A4">
        <w:rPr>
          <w:sz w:val="24"/>
          <w:szCs w:val="24"/>
        </w:rPr>
        <w:t xml:space="preserve">lause of the North Carolina Constitution </w:t>
      </w:r>
      <w:r>
        <w:rPr>
          <w:sz w:val="24"/>
          <w:szCs w:val="24"/>
        </w:rPr>
        <w:t xml:space="preserve">if </w:t>
      </w:r>
      <w:r w:rsidR="007F46A4">
        <w:rPr>
          <w:sz w:val="24"/>
          <w:szCs w:val="24"/>
        </w:rPr>
        <w:t>it</w:t>
      </w:r>
      <w:r w:rsidR="00A05DA3">
        <w:rPr>
          <w:sz w:val="24"/>
          <w:szCs w:val="24"/>
        </w:rPr>
        <w:t xml:space="preserve"> </w:t>
      </w:r>
      <w:r w:rsidR="00F80FA3" w:rsidRPr="00F80FA3">
        <w:rPr>
          <w:sz w:val="24"/>
          <w:szCs w:val="24"/>
        </w:rPr>
        <w:t>“</w:t>
      </w:r>
      <w:r w:rsidR="00554563" w:rsidRPr="00F80FA3">
        <w:rPr>
          <w:rStyle w:val="ssrfcpassagedeactivated"/>
          <w:sz w:val="24"/>
          <w:szCs w:val="24"/>
        </w:rPr>
        <w:t>prescribes different punishment for the same acts committed under the same circumstances by persons in like situation.</w:t>
      </w:r>
      <w:r w:rsidR="00F80FA3" w:rsidRPr="00F80FA3">
        <w:rPr>
          <w:rStyle w:val="ssrfcpassagedeactivated"/>
          <w:sz w:val="24"/>
          <w:szCs w:val="24"/>
        </w:rPr>
        <w:t xml:space="preserve">” </w:t>
      </w:r>
      <w:r w:rsidR="00F80FA3" w:rsidRPr="00F80FA3">
        <w:rPr>
          <w:rStyle w:val="ssrfcpassagedeactivated"/>
          <w:i/>
          <w:sz w:val="24"/>
          <w:szCs w:val="24"/>
        </w:rPr>
        <w:t xml:space="preserve">State v. Benton, </w:t>
      </w:r>
      <w:r w:rsidR="00F80FA3" w:rsidRPr="00F80FA3">
        <w:rPr>
          <w:rStyle w:val="ssrfcpassagedeactivated"/>
          <w:sz w:val="24"/>
          <w:szCs w:val="24"/>
        </w:rPr>
        <w:t>276 N.C. 641, 660 (1970)</w:t>
      </w:r>
      <w:r>
        <w:rPr>
          <w:rStyle w:val="ssrfcpassagedeactivated"/>
          <w:sz w:val="24"/>
          <w:szCs w:val="24"/>
        </w:rPr>
        <w:t xml:space="preserve"> (quotations omitted)</w:t>
      </w:r>
      <w:r w:rsidR="00F80FA3" w:rsidRPr="00F80FA3">
        <w:rPr>
          <w:rStyle w:val="ssrfcpassagedeactivated"/>
          <w:sz w:val="24"/>
          <w:szCs w:val="24"/>
        </w:rPr>
        <w:t>.</w:t>
      </w:r>
      <w:r w:rsidR="007F46A4">
        <w:rPr>
          <w:rStyle w:val="ssrfcpassagedeactivated"/>
          <w:sz w:val="24"/>
          <w:szCs w:val="24"/>
        </w:rPr>
        <w:t xml:space="preserve"> </w:t>
      </w:r>
    </w:p>
    <w:p w14:paraId="791276C7" w14:textId="1F9FA604" w:rsidR="00073BAA" w:rsidRDefault="007C6623">
      <w:pPr>
        <w:pStyle w:val="ListParagraph"/>
        <w:spacing w:line="276" w:lineRule="auto"/>
        <w:ind w:left="0"/>
        <w:rPr>
          <w:sz w:val="24"/>
          <w:szCs w:val="24"/>
        </w:rPr>
      </w:pPr>
      <w:r>
        <w:rPr>
          <w:sz w:val="24"/>
          <w:szCs w:val="24"/>
        </w:rPr>
        <w:tab/>
      </w:r>
      <w:r w:rsidR="00F80FA3" w:rsidRPr="00F80FA3">
        <w:rPr>
          <w:sz w:val="24"/>
          <w:szCs w:val="24"/>
        </w:rPr>
        <w:t>There is no legitimate, rational basis for distinguishing between the</w:t>
      </w:r>
      <w:r w:rsidR="00C67287">
        <w:rPr>
          <w:sz w:val="24"/>
          <w:szCs w:val="24"/>
        </w:rPr>
        <w:t xml:space="preserve"> automatic</w:t>
      </w:r>
      <w:r w:rsidR="00F80FA3" w:rsidRPr="00F80FA3">
        <w:rPr>
          <w:sz w:val="24"/>
          <w:szCs w:val="24"/>
        </w:rPr>
        <w:t xml:space="preserve"> prosecution and punishment of </w:t>
      </w:r>
      <w:r w:rsidR="00BB5B32">
        <w:rPr>
          <w:sz w:val="24"/>
          <w:szCs w:val="24"/>
        </w:rPr>
        <w:t>CLIENT</w:t>
      </w:r>
      <w:r w:rsidR="00F80FA3" w:rsidRPr="00F80FA3">
        <w:rPr>
          <w:sz w:val="24"/>
          <w:szCs w:val="24"/>
        </w:rPr>
        <w:t xml:space="preserve"> in adult court </w:t>
      </w:r>
      <w:r w:rsidR="00C67287">
        <w:rPr>
          <w:sz w:val="24"/>
          <w:szCs w:val="24"/>
        </w:rPr>
        <w:t xml:space="preserve">now from </w:t>
      </w:r>
      <w:r w:rsidR="00C67287" w:rsidRPr="00F80FA3">
        <w:rPr>
          <w:sz w:val="24"/>
          <w:szCs w:val="24"/>
        </w:rPr>
        <w:t>the prosecution and punishment of a</w:t>
      </w:r>
      <w:r w:rsidR="00C67287">
        <w:rPr>
          <w:sz w:val="24"/>
          <w:szCs w:val="24"/>
        </w:rPr>
        <w:t xml:space="preserve"> sixteen-year-old</w:t>
      </w:r>
      <w:r w:rsidR="00C67287" w:rsidRPr="00F80FA3">
        <w:rPr>
          <w:sz w:val="24"/>
          <w:szCs w:val="24"/>
        </w:rPr>
        <w:t xml:space="preserve"> alleged to have committed the same </w:t>
      </w:r>
      <w:r w:rsidR="00311CA0">
        <w:rPr>
          <w:sz w:val="24"/>
          <w:szCs w:val="24"/>
        </w:rPr>
        <w:t>acts</w:t>
      </w:r>
      <w:r w:rsidR="00C67287" w:rsidRPr="00F80FA3">
        <w:rPr>
          <w:sz w:val="24"/>
          <w:szCs w:val="24"/>
        </w:rPr>
        <w:t xml:space="preserve"> after December 1, 2019.</w:t>
      </w:r>
      <w:r w:rsidR="00311CA0">
        <w:rPr>
          <w:sz w:val="24"/>
          <w:szCs w:val="24"/>
        </w:rPr>
        <w:t xml:space="preserve"> Critically—and unlike rational basis analysis—once the court finds an equal protection violation,</w:t>
      </w:r>
      <w:r w:rsidR="00140ACD" w:rsidRPr="00140ACD">
        <w:rPr>
          <w:sz w:val="24"/>
          <w:szCs w:val="24"/>
        </w:rPr>
        <w:t xml:space="preserve"> </w:t>
      </w:r>
      <w:r w:rsidR="00140ACD" w:rsidRPr="00140ACD">
        <w:rPr>
          <w:sz w:val="24"/>
          <w:szCs w:val="24"/>
        </w:rPr>
        <w:lastRenderedPageBreak/>
        <w:t>the burden to demonstrate</w:t>
      </w:r>
      <w:r w:rsidR="00311CA0">
        <w:rPr>
          <w:sz w:val="24"/>
          <w:szCs w:val="24"/>
        </w:rPr>
        <w:t xml:space="preserve"> an</w:t>
      </w:r>
      <w:r w:rsidR="00140ACD" w:rsidRPr="00140ACD">
        <w:rPr>
          <w:sz w:val="24"/>
          <w:szCs w:val="24"/>
        </w:rPr>
        <w:t xml:space="preserve"> inability to remedy the </w:t>
      </w:r>
      <w:r w:rsidR="00311CA0">
        <w:rPr>
          <w:sz w:val="24"/>
          <w:szCs w:val="24"/>
        </w:rPr>
        <w:t>violation</w:t>
      </w:r>
      <w:r w:rsidR="00073BAA">
        <w:rPr>
          <w:sz w:val="24"/>
          <w:szCs w:val="24"/>
        </w:rPr>
        <w:t xml:space="preserve"> </w:t>
      </w:r>
      <w:r w:rsidR="00311CA0">
        <w:rPr>
          <w:sz w:val="24"/>
          <w:szCs w:val="24"/>
        </w:rPr>
        <w:t>in a timely fashion rests with the State.</w:t>
      </w:r>
      <w:r w:rsidR="00073BAA">
        <w:rPr>
          <w:sz w:val="24"/>
          <w:szCs w:val="24"/>
        </w:rPr>
        <w:t xml:space="preserve"> </w:t>
      </w:r>
      <w:r w:rsidR="00140ACD" w:rsidRPr="00311CA0">
        <w:rPr>
          <w:i/>
          <w:sz w:val="24"/>
          <w:szCs w:val="24"/>
        </w:rPr>
        <w:t>Cf.</w:t>
      </w:r>
      <w:r w:rsidR="00073BAA">
        <w:rPr>
          <w:i/>
          <w:sz w:val="24"/>
          <w:szCs w:val="24"/>
        </w:rPr>
        <w:t xml:space="preserve"> </w:t>
      </w:r>
      <w:r w:rsidR="00140ACD" w:rsidRPr="00311CA0">
        <w:rPr>
          <w:i/>
          <w:sz w:val="24"/>
          <w:szCs w:val="24"/>
        </w:rPr>
        <w:t>Brown v. Bd. of Educ.</w:t>
      </w:r>
      <w:r w:rsidR="00140ACD" w:rsidRPr="00140ACD">
        <w:rPr>
          <w:sz w:val="24"/>
          <w:szCs w:val="24"/>
        </w:rPr>
        <w:t>, 349 U.S. 294, 300 (1955) (“The burden rests upon the [school systems] to establish that such time is necessary” to comply with the Court’s dese</w:t>
      </w:r>
      <w:r w:rsidR="00311CA0">
        <w:rPr>
          <w:sz w:val="24"/>
          <w:szCs w:val="24"/>
        </w:rPr>
        <w:t xml:space="preserve">gregation rulings). </w:t>
      </w:r>
      <w:r w:rsidR="00C67287">
        <w:rPr>
          <w:sz w:val="24"/>
          <w:szCs w:val="24"/>
        </w:rPr>
        <w:t>Thus</w:t>
      </w:r>
      <w:r w:rsidR="00073BAA">
        <w:rPr>
          <w:sz w:val="24"/>
          <w:szCs w:val="24"/>
        </w:rPr>
        <w:t>,</w:t>
      </w:r>
      <w:r w:rsidR="00C67287">
        <w:rPr>
          <w:sz w:val="24"/>
          <w:szCs w:val="24"/>
        </w:rPr>
        <w:t xml:space="preserve"> </w:t>
      </w:r>
      <w:r w:rsidR="000F1B6F" w:rsidRPr="00F80FA3">
        <w:rPr>
          <w:sz w:val="24"/>
          <w:szCs w:val="24"/>
        </w:rPr>
        <w:t xml:space="preserve">the prosecution of </w:t>
      </w:r>
      <w:r w:rsidR="00BB5B32">
        <w:rPr>
          <w:sz w:val="24"/>
          <w:szCs w:val="24"/>
        </w:rPr>
        <w:t>CLIENT</w:t>
      </w:r>
      <w:r w:rsidR="00073BAA">
        <w:rPr>
          <w:sz w:val="24"/>
          <w:szCs w:val="24"/>
        </w:rPr>
        <w:t xml:space="preserve"> as an adult</w:t>
      </w:r>
      <w:r w:rsidR="000F1B6F" w:rsidRPr="00F80FA3">
        <w:rPr>
          <w:sz w:val="24"/>
          <w:szCs w:val="24"/>
        </w:rPr>
        <w:t xml:space="preserve"> violates the </w:t>
      </w:r>
      <w:r w:rsidR="00584605">
        <w:rPr>
          <w:sz w:val="24"/>
          <w:szCs w:val="24"/>
        </w:rPr>
        <w:t>state and federal c</w:t>
      </w:r>
      <w:r w:rsidR="00F80FA3" w:rsidRPr="00F80FA3">
        <w:rPr>
          <w:sz w:val="24"/>
          <w:szCs w:val="24"/>
        </w:rPr>
        <w:t xml:space="preserve">onstitutions’ </w:t>
      </w:r>
      <w:r w:rsidR="000F1B6F" w:rsidRPr="00F80FA3">
        <w:rPr>
          <w:sz w:val="24"/>
          <w:szCs w:val="24"/>
        </w:rPr>
        <w:t>guarantee</w:t>
      </w:r>
      <w:r>
        <w:rPr>
          <w:sz w:val="24"/>
          <w:szCs w:val="24"/>
        </w:rPr>
        <w:t>s</w:t>
      </w:r>
      <w:r w:rsidR="000F1B6F" w:rsidRPr="00F80FA3">
        <w:rPr>
          <w:sz w:val="24"/>
          <w:szCs w:val="24"/>
        </w:rPr>
        <w:t xml:space="preserve"> o</w:t>
      </w:r>
      <w:r w:rsidR="00140ACD">
        <w:rPr>
          <w:sz w:val="24"/>
          <w:szCs w:val="24"/>
        </w:rPr>
        <w:t>f equal protection of the laws.</w:t>
      </w:r>
    </w:p>
    <w:p w14:paraId="5463B2F8" w14:textId="77777777" w:rsidR="00073BAA" w:rsidRDefault="00073BAA">
      <w:pPr>
        <w:pStyle w:val="ListParagraph"/>
        <w:spacing w:line="276" w:lineRule="auto"/>
        <w:rPr>
          <w:sz w:val="24"/>
          <w:szCs w:val="24"/>
        </w:rPr>
      </w:pPr>
    </w:p>
    <w:p w14:paraId="0FD5A58B" w14:textId="77777777" w:rsidR="00073BAA" w:rsidRDefault="00CA579B">
      <w:pPr>
        <w:pStyle w:val="ListParagraph"/>
        <w:numPr>
          <w:ilvl w:val="1"/>
          <w:numId w:val="11"/>
        </w:numPr>
        <w:spacing w:line="276" w:lineRule="auto"/>
        <w:ind w:left="0" w:firstLine="0"/>
        <w:jc w:val="center"/>
        <w:rPr>
          <w:i/>
          <w:sz w:val="24"/>
          <w:szCs w:val="24"/>
        </w:rPr>
      </w:pPr>
      <w:r>
        <w:rPr>
          <w:i/>
          <w:sz w:val="24"/>
          <w:szCs w:val="24"/>
        </w:rPr>
        <w:t>Due Process</w:t>
      </w:r>
    </w:p>
    <w:p w14:paraId="123C89FC" w14:textId="77777777" w:rsidR="00073BAA" w:rsidRDefault="00073BAA">
      <w:pPr>
        <w:pStyle w:val="ListParagraph"/>
        <w:spacing w:line="276" w:lineRule="auto"/>
        <w:ind w:left="0"/>
        <w:jc w:val="center"/>
        <w:rPr>
          <w:i/>
          <w:sz w:val="24"/>
          <w:szCs w:val="24"/>
        </w:rPr>
      </w:pPr>
    </w:p>
    <w:p w14:paraId="37863CC6" w14:textId="2FC84BB4" w:rsidR="00073BAA" w:rsidRDefault="007C6623">
      <w:pPr>
        <w:pStyle w:val="ListParagraph"/>
        <w:spacing w:line="276" w:lineRule="auto"/>
        <w:ind w:left="0"/>
        <w:rPr>
          <w:rStyle w:val="ssit"/>
          <w:sz w:val="24"/>
          <w:szCs w:val="24"/>
        </w:rPr>
      </w:pPr>
      <w:r>
        <w:rPr>
          <w:i/>
          <w:sz w:val="24"/>
          <w:szCs w:val="24"/>
        </w:rPr>
        <w:tab/>
      </w:r>
      <w:r w:rsidR="0020484F" w:rsidRPr="00EA6E31">
        <w:rPr>
          <w:sz w:val="24"/>
          <w:szCs w:val="24"/>
        </w:rPr>
        <w:t>The right to due process protects “</w:t>
      </w:r>
      <w:r w:rsidR="0020484F" w:rsidRPr="00EA6E31">
        <w:rPr>
          <w:rStyle w:val="ssrfcpassagedeactivated"/>
          <w:sz w:val="24"/>
          <w:szCs w:val="24"/>
        </w:rPr>
        <w:t xml:space="preserve">those ‘fundamental conceptions of justice which lie at the base of our civil and political institutions,’ </w:t>
      </w:r>
      <w:r w:rsidR="0020484F" w:rsidRPr="00EA6E31">
        <w:rPr>
          <w:rStyle w:val="ssit"/>
          <w:i/>
          <w:sz w:val="24"/>
          <w:szCs w:val="24"/>
        </w:rPr>
        <w:t>Mooney</w:t>
      </w:r>
      <w:r w:rsidR="0020484F" w:rsidRPr="00EA6E31">
        <w:rPr>
          <w:rStyle w:val="ssrfcpassagedeactivated"/>
          <w:i/>
          <w:sz w:val="24"/>
          <w:szCs w:val="24"/>
        </w:rPr>
        <w:t xml:space="preserve"> v. </w:t>
      </w:r>
      <w:proofErr w:type="spellStart"/>
      <w:r w:rsidR="0020484F" w:rsidRPr="00EA6E31">
        <w:rPr>
          <w:rStyle w:val="ssit"/>
          <w:i/>
          <w:sz w:val="24"/>
          <w:szCs w:val="24"/>
        </w:rPr>
        <w:t>Holohan</w:t>
      </w:r>
      <w:proofErr w:type="spellEnd"/>
      <w:r w:rsidR="0020484F" w:rsidRPr="00EA6E31">
        <w:rPr>
          <w:rStyle w:val="ssit"/>
          <w:color w:val="0000FF"/>
          <w:sz w:val="24"/>
          <w:szCs w:val="24"/>
          <w:u w:val="single"/>
        </w:rPr>
        <w:t>,</w:t>
      </w:r>
      <w:r w:rsidR="0020484F" w:rsidRPr="00EA6E31">
        <w:rPr>
          <w:rStyle w:val="ssrfcpassagedeactivated"/>
          <w:sz w:val="24"/>
          <w:szCs w:val="24"/>
        </w:rPr>
        <w:t xml:space="preserve"> 294 U.S. 103, 112 (1935), and which define ‘</w:t>
      </w:r>
      <w:r w:rsidR="0020484F">
        <w:rPr>
          <w:rStyle w:val="ssrfcpassagedeactivated"/>
          <w:sz w:val="24"/>
          <w:szCs w:val="24"/>
        </w:rPr>
        <w:t>the community’</w:t>
      </w:r>
      <w:r w:rsidR="0020484F" w:rsidRPr="00EA6E31">
        <w:rPr>
          <w:rStyle w:val="ssrfcpassagedeactivated"/>
          <w:sz w:val="24"/>
          <w:szCs w:val="24"/>
        </w:rPr>
        <w:t xml:space="preserve">s sense of fair play and decency,’ </w:t>
      </w:r>
      <w:proofErr w:type="spellStart"/>
      <w:r w:rsidR="0020484F" w:rsidRPr="00EA6E31">
        <w:rPr>
          <w:rStyle w:val="ssit"/>
          <w:i/>
          <w:sz w:val="24"/>
          <w:szCs w:val="24"/>
        </w:rPr>
        <w:t>Rochin</w:t>
      </w:r>
      <w:proofErr w:type="spellEnd"/>
      <w:r w:rsidR="0020484F" w:rsidRPr="00EA6E31">
        <w:rPr>
          <w:rStyle w:val="ssrfcpassagedeactivated"/>
          <w:i/>
          <w:sz w:val="24"/>
          <w:szCs w:val="24"/>
        </w:rPr>
        <w:t xml:space="preserve"> v. </w:t>
      </w:r>
      <w:r w:rsidR="0020484F" w:rsidRPr="00EA6E31">
        <w:rPr>
          <w:rStyle w:val="ssit"/>
          <w:i/>
          <w:sz w:val="24"/>
          <w:szCs w:val="24"/>
        </w:rPr>
        <w:t>California</w:t>
      </w:r>
      <w:r w:rsidR="0020484F" w:rsidRPr="00EA6E31">
        <w:rPr>
          <w:rStyle w:val="ssit"/>
          <w:sz w:val="24"/>
          <w:szCs w:val="24"/>
        </w:rPr>
        <w:t xml:space="preserve">, [342 U.S. 165, 173 (1952)].” </w:t>
      </w:r>
      <w:r w:rsidR="0020484F" w:rsidRPr="00EA6E31">
        <w:rPr>
          <w:i/>
          <w:sz w:val="24"/>
          <w:szCs w:val="24"/>
        </w:rPr>
        <w:t xml:space="preserve">United States v. </w:t>
      </w:r>
      <w:proofErr w:type="spellStart"/>
      <w:r w:rsidR="0020484F" w:rsidRPr="00EA6E31">
        <w:rPr>
          <w:i/>
          <w:sz w:val="24"/>
          <w:szCs w:val="24"/>
        </w:rPr>
        <w:t>Lovasco</w:t>
      </w:r>
      <w:proofErr w:type="spellEnd"/>
      <w:r w:rsidR="0020484F" w:rsidRPr="00EA6E31">
        <w:rPr>
          <w:sz w:val="24"/>
          <w:szCs w:val="24"/>
        </w:rPr>
        <w:t>, 431 U.S. 783, 790</w:t>
      </w:r>
      <w:r w:rsidR="0020484F" w:rsidRPr="00EA6E31">
        <w:rPr>
          <w:rStyle w:val="ssit"/>
          <w:sz w:val="24"/>
          <w:szCs w:val="24"/>
        </w:rPr>
        <w:t xml:space="preserve"> (1977).</w:t>
      </w:r>
      <w:r w:rsidR="00A05DA3">
        <w:rPr>
          <w:rStyle w:val="ssit"/>
          <w:sz w:val="24"/>
          <w:szCs w:val="24"/>
        </w:rPr>
        <w:t xml:space="preserve"> </w:t>
      </w:r>
      <w:r w:rsidRPr="007C6623">
        <w:rPr>
          <w:rFonts w:eastAsia="Century"/>
          <w:color w:val="000000" w:themeColor="text1"/>
          <w:sz w:val="24"/>
          <w:szCs w:val="24"/>
        </w:rPr>
        <w:t xml:space="preserve">The Federal Due Process Clause converges with the North Carolina Law of the Land Clause. </w:t>
      </w:r>
      <w:r w:rsidRPr="007C6623">
        <w:rPr>
          <w:rFonts w:eastAsia="Century"/>
          <w:i/>
          <w:color w:val="000000" w:themeColor="text1"/>
          <w:sz w:val="24"/>
          <w:szCs w:val="24"/>
        </w:rPr>
        <w:t>State v. Balance</w:t>
      </w:r>
      <w:r w:rsidRPr="007C6623">
        <w:rPr>
          <w:rFonts w:eastAsia="Century"/>
          <w:color w:val="000000" w:themeColor="text1"/>
          <w:sz w:val="24"/>
          <w:szCs w:val="24"/>
        </w:rPr>
        <w:t>, 229 N.C. 764, 769 (1949) (“</w:t>
      </w:r>
      <w:r w:rsidRPr="007C6623">
        <w:rPr>
          <w:color w:val="000000" w:themeColor="text1"/>
          <w:sz w:val="24"/>
          <w:szCs w:val="24"/>
          <w:shd w:val="clear" w:color="auto" w:fill="FFFFFF"/>
        </w:rPr>
        <w:t>The term ‘law of the land’ is synonymous with ‘due process of law,’ a phrase appearing in the Federal Constitution and the organic law of many states.”).</w:t>
      </w:r>
      <w:r w:rsidR="00C57D26">
        <w:rPr>
          <w:color w:val="000000" w:themeColor="text1"/>
          <w:sz w:val="24"/>
          <w:szCs w:val="24"/>
          <w:shd w:val="clear" w:color="auto" w:fill="FFFFFF"/>
        </w:rPr>
        <w:t xml:space="preserve"> </w:t>
      </w:r>
      <w:r w:rsidR="00C57D26">
        <w:rPr>
          <w:rStyle w:val="ssrfcpassagedeactivated"/>
          <w:sz w:val="24"/>
          <w:szCs w:val="24"/>
        </w:rPr>
        <w:t xml:space="preserve">Notably, </w:t>
      </w:r>
      <w:r w:rsidR="00C57D26">
        <w:rPr>
          <w:sz w:val="24"/>
          <w:szCs w:val="24"/>
        </w:rPr>
        <w:t xml:space="preserve">a state constitution may provide more rights than the federal constitution. </w:t>
      </w:r>
      <w:r w:rsidR="00C57D26" w:rsidRPr="00584605">
        <w:rPr>
          <w:i/>
          <w:sz w:val="24"/>
          <w:szCs w:val="24"/>
        </w:rPr>
        <w:t>See, generally</w:t>
      </w:r>
      <w:r w:rsidR="00C57D26">
        <w:rPr>
          <w:sz w:val="24"/>
          <w:szCs w:val="24"/>
        </w:rPr>
        <w:t xml:space="preserve">, W. J. Brennan, </w:t>
      </w:r>
      <w:r w:rsidR="00C57D26" w:rsidRPr="00584605">
        <w:rPr>
          <w:i/>
          <w:sz w:val="24"/>
          <w:szCs w:val="24"/>
        </w:rPr>
        <w:t>State Constitutions and the Protection of Individual Rights</w:t>
      </w:r>
      <w:r w:rsidR="00C57D26">
        <w:rPr>
          <w:sz w:val="24"/>
          <w:szCs w:val="24"/>
        </w:rPr>
        <w:t xml:space="preserve">, </w:t>
      </w:r>
      <w:r w:rsidR="00C57D26" w:rsidRPr="007F46A4">
        <w:rPr>
          <w:sz w:val="24"/>
          <w:szCs w:val="24"/>
        </w:rPr>
        <w:t>90</w:t>
      </w:r>
      <w:r w:rsidR="00C57D26">
        <w:rPr>
          <w:sz w:val="24"/>
          <w:szCs w:val="24"/>
        </w:rPr>
        <w:t xml:space="preserve"> </w:t>
      </w:r>
      <w:proofErr w:type="spellStart"/>
      <w:r w:rsidR="00C57D26" w:rsidRPr="007F46A4">
        <w:rPr>
          <w:sz w:val="24"/>
          <w:szCs w:val="24"/>
        </w:rPr>
        <w:t>Harv</w:t>
      </w:r>
      <w:proofErr w:type="spellEnd"/>
      <w:r w:rsidR="00C57D26" w:rsidRPr="007F46A4">
        <w:rPr>
          <w:sz w:val="24"/>
          <w:szCs w:val="24"/>
        </w:rPr>
        <w:t>.</w:t>
      </w:r>
      <w:r w:rsidR="00C57D26">
        <w:rPr>
          <w:sz w:val="24"/>
          <w:szCs w:val="24"/>
        </w:rPr>
        <w:t xml:space="preserve"> </w:t>
      </w:r>
      <w:r w:rsidR="00C57D26" w:rsidRPr="007F46A4">
        <w:rPr>
          <w:sz w:val="24"/>
          <w:szCs w:val="24"/>
        </w:rPr>
        <w:t>L.</w:t>
      </w:r>
      <w:r w:rsidR="00C57D26">
        <w:rPr>
          <w:sz w:val="24"/>
          <w:szCs w:val="24"/>
        </w:rPr>
        <w:t xml:space="preserve"> </w:t>
      </w:r>
      <w:r w:rsidR="00C57D26" w:rsidRPr="007F46A4">
        <w:rPr>
          <w:sz w:val="24"/>
          <w:szCs w:val="24"/>
        </w:rPr>
        <w:t>Rev.</w:t>
      </w:r>
      <w:r w:rsidR="00C57D26">
        <w:rPr>
          <w:sz w:val="24"/>
          <w:szCs w:val="24"/>
        </w:rPr>
        <w:t xml:space="preserve"> </w:t>
      </w:r>
      <w:r w:rsidR="00C57D26" w:rsidRPr="007F46A4">
        <w:rPr>
          <w:sz w:val="24"/>
          <w:szCs w:val="24"/>
        </w:rPr>
        <w:t>489,</w:t>
      </w:r>
      <w:r w:rsidR="00C57D26">
        <w:rPr>
          <w:sz w:val="24"/>
          <w:szCs w:val="24"/>
        </w:rPr>
        <w:t xml:space="preserve"> </w:t>
      </w:r>
      <w:r w:rsidR="00C57D26" w:rsidRPr="007F46A4">
        <w:rPr>
          <w:sz w:val="24"/>
          <w:szCs w:val="24"/>
        </w:rPr>
        <w:t>503</w:t>
      </w:r>
      <w:r w:rsidR="00C57D26">
        <w:rPr>
          <w:sz w:val="24"/>
          <w:szCs w:val="24"/>
        </w:rPr>
        <w:t xml:space="preserve"> </w:t>
      </w:r>
      <w:r w:rsidR="00C57D26" w:rsidRPr="007F46A4">
        <w:rPr>
          <w:sz w:val="24"/>
          <w:szCs w:val="24"/>
        </w:rPr>
        <w:t>(1977)</w:t>
      </w:r>
      <w:r w:rsidR="00C57D26">
        <w:rPr>
          <w:sz w:val="24"/>
          <w:szCs w:val="24"/>
        </w:rPr>
        <w:t xml:space="preserve"> (noting that a state court may interpret its own constitution so as to provide greater protections of individual liberties).</w:t>
      </w:r>
      <w:r w:rsidR="0020484F">
        <w:rPr>
          <w:rStyle w:val="ssit"/>
          <w:sz w:val="24"/>
          <w:szCs w:val="24"/>
        </w:rPr>
        <w:tab/>
      </w:r>
    </w:p>
    <w:p w14:paraId="164F6F7B" w14:textId="7FF21725" w:rsidR="00C57D26" w:rsidRDefault="0020484F">
      <w:pPr>
        <w:pStyle w:val="ListParagraph"/>
        <w:spacing w:line="276" w:lineRule="auto"/>
        <w:ind w:left="0"/>
        <w:rPr>
          <w:sz w:val="24"/>
          <w:szCs w:val="24"/>
        </w:rPr>
      </w:pPr>
      <w:r>
        <w:rPr>
          <w:rStyle w:val="ssit"/>
          <w:sz w:val="24"/>
          <w:szCs w:val="24"/>
        </w:rPr>
        <w:tab/>
      </w:r>
      <w:r w:rsidR="007C6623" w:rsidRPr="00EA6E31">
        <w:rPr>
          <w:sz w:val="24"/>
          <w:szCs w:val="24"/>
        </w:rPr>
        <w:t xml:space="preserve">Given that as of December 1, 2019 North Carolina no longer permits a </w:t>
      </w:r>
      <w:r w:rsidR="007C6623">
        <w:rPr>
          <w:sz w:val="24"/>
          <w:szCs w:val="24"/>
        </w:rPr>
        <w:t>sixteen</w:t>
      </w:r>
      <w:r w:rsidR="007C6623" w:rsidRPr="00EA6E31">
        <w:rPr>
          <w:sz w:val="24"/>
          <w:szCs w:val="24"/>
        </w:rPr>
        <w:t xml:space="preserve">-year-old charged with a class </w:t>
      </w:r>
      <w:r w:rsidR="00073BAA">
        <w:rPr>
          <w:sz w:val="24"/>
          <w:szCs w:val="24"/>
        </w:rPr>
        <w:t>H</w:t>
      </w:r>
      <w:r w:rsidR="007C6623" w:rsidRPr="00EA6E31">
        <w:rPr>
          <w:sz w:val="24"/>
          <w:szCs w:val="24"/>
        </w:rPr>
        <w:t xml:space="preserve"> felony to be automatically prosecuted, tried, and sentenced as an adult, with the attendant direct and collateral consequences, the prosecution of </w:t>
      </w:r>
      <w:r w:rsidR="00BB5B32">
        <w:rPr>
          <w:sz w:val="24"/>
          <w:szCs w:val="24"/>
        </w:rPr>
        <w:t>CLIENT</w:t>
      </w:r>
      <w:r w:rsidR="007C6623" w:rsidRPr="00EA6E31">
        <w:rPr>
          <w:sz w:val="24"/>
          <w:szCs w:val="24"/>
        </w:rPr>
        <w:t xml:space="preserve"> violates the North Carolina and United States </w:t>
      </w:r>
      <w:r w:rsidR="007C6623" w:rsidRPr="0020484F">
        <w:rPr>
          <w:sz w:val="24"/>
          <w:szCs w:val="24"/>
        </w:rPr>
        <w:t xml:space="preserve">Constitutions’ guarantees of due process. </w:t>
      </w:r>
      <w:r w:rsidRPr="0020484F">
        <w:rPr>
          <w:sz w:val="24"/>
          <w:szCs w:val="24"/>
        </w:rPr>
        <w:t xml:space="preserve">In </w:t>
      </w:r>
      <w:r w:rsidR="006604ED">
        <w:rPr>
          <w:sz w:val="24"/>
          <w:szCs w:val="24"/>
        </w:rPr>
        <w:t xml:space="preserve">a </w:t>
      </w:r>
      <w:r w:rsidRPr="0020484F">
        <w:rPr>
          <w:sz w:val="24"/>
          <w:szCs w:val="24"/>
        </w:rPr>
        <w:t>seminal case concerning procedural due process protections for juveniles subject to transfer to adult court, the Supreme Court held that “</w:t>
      </w:r>
      <w:r w:rsidRPr="0020484F">
        <w:rPr>
          <w:rStyle w:val="ssleftalign"/>
          <w:sz w:val="24"/>
          <w:szCs w:val="24"/>
        </w:rPr>
        <w:t xml:space="preserve">there is no place in our system of law for reaching a result of such </w:t>
      </w:r>
      <w:r w:rsidRPr="006973FD">
        <w:rPr>
          <w:rStyle w:val="ssleftalign"/>
          <w:i/>
          <w:sz w:val="24"/>
          <w:szCs w:val="24"/>
        </w:rPr>
        <w:t>tremendous consequences</w:t>
      </w:r>
      <w:r>
        <w:rPr>
          <w:rStyle w:val="ssleftalign"/>
          <w:sz w:val="24"/>
          <w:szCs w:val="24"/>
        </w:rPr>
        <w:t xml:space="preserve"> without ceremony—</w:t>
      </w:r>
      <w:r w:rsidRPr="0020484F">
        <w:rPr>
          <w:rStyle w:val="ssleftalign"/>
          <w:sz w:val="24"/>
          <w:szCs w:val="24"/>
        </w:rPr>
        <w:t xml:space="preserve">without hearing, without effective assistance of counsel, without a statement of reasons.” </w:t>
      </w:r>
      <w:r w:rsidR="007C6A20" w:rsidRPr="0020484F">
        <w:rPr>
          <w:i/>
          <w:iCs/>
          <w:sz w:val="24"/>
          <w:szCs w:val="24"/>
        </w:rPr>
        <w:t>Kent v. United States</w:t>
      </w:r>
      <w:r w:rsidR="007C6A20" w:rsidRPr="0020484F">
        <w:rPr>
          <w:sz w:val="24"/>
          <w:szCs w:val="24"/>
        </w:rPr>
        <w:t>, 383 U.S. 541 (1966)</w:t>
      </w:r>
      <w:r w:rsidR="006973FD">
        <w:rPr>
          <w:sz w:val="24"/>
          <w:szCs w:val="24"/>
        </w:rPr>
        <w:t xml:space="preserve"> (emphasis added</w:t>
      </w:r>
      <w:r w:rsidR="006C5244">
        <w:rPr>
          <w:sz w:val="24"/>
          <w:szCs w:val="24"/>
        </w:rPr>
        <w:t>). M</w:t>
      </w:r>
      <w:r w:rsidR="00C57D26" w:rsidRPr="0046152F">
        <w:rPr>
          <w:sz w:val="24"/>
          <w:szCs w:val="24"/>
        </w:rPr>
        <w:t xml:space="preserve">ore recently, and by way of example, the Supreme Court of New Jersey analyzed a statute imposing mandatory lifetime sex offender registry for juveniles adjudicated delinquent of certain sex offenses. </w:t>
      </w:r>
      <w:r w:rsidR="00C57D26" w:rsidRPr="0046152F">
        <w:rPr>
          <w:i/>
          <w:sz w:val="24"/>
          <w:szCs w:val="24"/>
        </w:rPr>
        <w:t>In re State ex rel. C.K.</w:t>
      </w:r>
      <w:r w:rsidR="00C57D26" w:rsidRPr="0046152F">
        <w:rPr>
          <w:sz w:val="24"/>
          <w:szCs w:val="24"/>
        </w:rPr>
        <w:t xml:space="preserve">, </w:t>
      </w:r>
      <w:r w:rsidR="00CC144B">
        <w:rPr>
          <w:sz w:val="24"/>
          <w:szCs w:val="24"/>
        </w:rPr>
        <w:t>182 A.3d 917</w:t>
      </w:r>
      <w:r w:rsidR="00C57D26" w:rsidRPr="0046152F">
        <w:rPr>
          <w:sz w:val="24"/>
          <w:szCs w:val="24"/>
        </w:rPr>
        <w:t xml:space="preserve"> (</w:t>
      </w:r>
      <w:r w:rsidR="00CC144B">
        <w:rPr>
          <w:sz w:val="24"/>
          <w:szCs w:val="24"/>
        </w:rPr>
        <w:t xml:space="preserve">N.J. </w:t>
      </w:r>
      <w:r w:rsidR="00C57D26" w:rsidRPr="0046152F">
        <w:rPr>
          <w:sz w:val="24"/>
          <w:szCs w:val="24"/>
        </w:rPr>
        <w:t xml:space="preserve">2018). That court held that this </w:t>
      </w:r>
      <w:r w:rsidR="00C57D26" w:rsidRPr="0046152F">
        <w:rPr>
          <w:i/>
          <w:sz w:val="24"/>
          <w:szCs w:val="24"/>
        </w:rPr>
        <w:t>automatic</w:t>
      </w:r>
      <w:r w:rsidR="00C57D26" w:rsidRPr="0046152F">
        <w:rPr>
          <w:sz w:val="24"/>
          <w:szCs w:val="24"/>
        </w:rPr>
        <w:t xml:space="preserve"> and </w:t>
      </w:r>
      <w:r w:rsidR="00C57D26" w:rsidRPr="0046152F">
        <w:rPr>
          <w:i/>
          <w:sz w:val="24"/>
          <w:szCs w:val="24"/>
        </w:rPr>
        <w:t>irrevocable</w:t>
      </w:r>
      <w:r w:rsidR="00C57D26" w:rsidRPr="0046152F">
        <w:rPr>
          <w:sz w:val="24"/>
          <w:szCs w:val="24"/>
        </w:rPr>
        <w:t xml:space="preserve"> punishment as applied to juveniles violated New Jersey’s substantive due process clause because, in light of scientific and legal consensus about the malleability of adolescents, the punishment “</w:t>
      </w:r>
      <w:r w:rsidR="00C57D26" w:rsidRPr="0046152F">
        <w:rPr>
          <w:rStyle w:val="ssleftalign"/>
          <w:sz w:val="24"/>
          <w:szCs w:val="24"/>
        </w:rPr>
        <w:t>no longer bears a rational relationship to a legitimate state purpose and arbitrarily denies those individuals their right to liberty and enjoyment of happiness</w:t>
      </w:r>
      <w:r w:rsidR="00C57D26" w:rsidRPr="0046152F">
        <w:rPr>
          <w:sz w:val="24"/>
          <w:szCs w:val="24"/>
        </w:rPr>
        <w:t xml:space="preserve">.” </w:t>
      </w:r>
      <w:r w:rsidR="00C57D26" w:rsidRPr="0046152F">
        <w:rPr>
          <w:i/>
          <w:sz w:val="24"/>
          <w:szCs w:val="24"/>
        </w:rPr>
        <w:t xml:space="preserve">Id. </w:t>
      </w:r>
      <w:r w:rsidR="00C57D26" w:rsidRPr="0046152F">
        <w:rPr>
          <w:sz w:val="24"/>
          <w:szCs w:val="24"/>
        </w:rPr>
        <w:t xml:space="preserve">at </w:t>
      </w:r>
      <w:r w:rsidR="00CC144B">
        <w:rPr>
          <w:sz w:val="24"/>
          <w:szCs w:val="24"/>
        </w:rPr>
        <w:t>935</w:t>
      </w:r>
      <w:r w:rsidR="00C57D26" w:rsidRPr="0046152F">
        <w:rPr>
          <w:sz w:val="24"/>
          <w:szCs w:val="24"/>
        </w:rPr>
        <w:t>.</w:t>
      </w:r>
    </w:p>
    <w:p w14:paraId="33D6428F" w14:textId="7B47F0B5" w:rsidR="00073BAA" w:rsidRDefault="00C57D26">
      <w:pPr>
        <w:pStyle w:val="ListParagraph"/>
        <w:spacing w:line="276" w:lineRule="auto"/>
        <w:ind w:left="0"/>
        <w:rPr>
          <w:sz w:val="24"/>
          <w:szCs w:val="24"/>
        </w:rPr>
      </w:pPr>
      <w:r>
        <w:rPr>
          <w:sz w:val="24"/>
          <w:szCs w:val="24"/>
        </w:rPr>
        <w:tab/>
      </w:r>
      <w:r w:rsidR="00BB5B32">
        <w:rPr>
          <w:sz w:val="24"/>
          <w:szCs w:val="24"/>
        </w:rPr>
        <w:t>CLIENT</w:t>
      </w:r>
      <w:r w:rsidR="0020484F">
        <w:rPr>
          <w:sz w:val="24"/>
          <w:szCs w:val="24"/>
        </w:rPr>
        <w:t xml:space="preserve"> has been prosecuted in adult court without a hearing and without a statement of reasons and, therefore, without the protections afforded him under the </w:t>
      </w:r>
      <w:r w:rsidR="00073BAA">
        <w:rPr>
          <w:sz w:val="24"/>
          <w:szCs w:val="24"/>
        </w:rPr>
        <w:t>state and federal</w:t>
      </w:r>
      <w:r w:rsidR="0020484F">
        <w:rPr>
          <w:sz w:val="24"/>
          <w:szCs w:val="24"/>
        </w:rPr>
        <w:t xml:space="preserve"> </w:t>
      </w:r>
      <w:r w:rsidR="00073BAA">
        <w:rPr>
          <w:sz w:val="24"/>
          <w:szCs w:val="24"/>
        </w:rPr>
        <w:t>constitutions</w:t>
      </w:r>
      <w:r w:rsidR="0020484F">
        <w:rPr>
          <w:sz w:val="24"/>
          <w:szCs w:val="24"/>
        </w:rPr>
        <w:t xml:space="preserve">.  </w:t>
      </w:r>
    </w:p>
    <w:p w14:paraId="6EA14660" w14:textId="77777777" w:rsidR="00073BAA" w:rsidRDefault="00073BAA">
      <w:pPr>
        <w:pStyle w:val="ListParagraph"/>
        <w:spacing w:line="276" w:lineRule="auto"/>
        <w:ind w:left="0"/>
        <w:jc w:val="center"/>
        <w:rPr>
          <w:sz w:val="24"/>
          <w:szCs w:val="24"/>
        </w:rPr>
      </w:pPr>
    </w:p>
    <w:p w14:paraId="3C15B534" w14:textId="77777777" w:rsidR="00073BAA" w:rsidRDefault="007C6623">
      <w:pPr>
        <w:pStyle w:val="ListParagraph"/>
        <w:numPr>
          <w:ilvl w:val="1"/>
          <w:numId w:val="11"/>
        </w:numPr>
        <w:spacing w:line="276" w:lineRule="auto"/>
        <w:ind w:left="0" w:firstLine="0"/>
        <w:jc w:val="center"/>
        <w:rPr>
          <w:i/>
          <w:sz w:val="24"/>
          <w:szCs w:val="24"/>
        </w:rPr>
      </w:pPr>
      <w:r>
        <w:rPr>
          <w:i/>
          <w:sz w:val="24"/>
          <w:szCs w:val="24"/>
        </w:rPr>
        <w:t>Cruel and Unusual Punishment</w:t>
      </w:r>
    </w:p>
    <w:p w14:paraId="27D56E20" w14:textId="77777777" w:rsidR="00073BAA" w:rsidRDefault="007C6623">
      <w:pPr>
        <w:pStyle w:val="ListParagraph"/>
        <w:spacing w:line="276" w:lineRule="auto"/>
        <w:ind w:left="0"/>
        <w:rPr>
          <w:i/>
          <w:sz w:val="24"/>
          <w:szCs w:val="24"/>
        </w:rPr>
      </w:pPr>
      <w:r>
        <w:rPr>
          <w:i/>
          <w:sz w:val="24"/>
          <w:szCs w:val="24"/>
        </w:rPr>
        <w:lastRenderedPageBreak/>
        <w:tab/>
      </w:r>
    </w:p>
    <w:p w14:paraId="41EE7A1F" w14:textId="63CD0795" w:rsidR="00073BAA" w:rsidRDefault="007C6623">
      <w:pPr>
        <w:pStyle w:val="ListParagraph"/>
        <w:spacing w:line="276" w:lineRule="auto"/>
        <w:ind w:left="0"/>
        <w:rPr>
          <w:i/>
          <w:sz w:val="24"/>
          <w:szCs w:val="24"/>
        </w:rPr>
      </w:pPr>
      <w:r>
        <w:rPr>
          <w:i/>
          <w:sz w:val="24"/>
          <w:szCs w:val="24"/>
        </w:rPr>
        <w:tab/>
      </w:r>
      <w:r w:rsidRPr="007C6623">
        <w:rPr>
          <w:sz w:val="24"/>
          <w:szCs w:val="24"/>
        </w:rPr>
        <w:t xml:space="preserve">The Eighth Amendment’s prohibition on cruel and unusual punishment “draw[s] its meaning from the evolving standards of decency that mark the progress of a maturing society.” </w:t>
      </w:r>
      <w:r w:rsidRPr="007C6623">
        <w:rPr>
          <w:i/>
          <w:sz w:val="24"/>
          <w:szCs w:val="24"/>
        </w:rPr>
        <w:t>Trop v. Dulles</w:t>
      </w:r>
      <w:r w:rsidRPr="007C6623">
        <w:rPr>
          <w:sz w:val="24"/>
          <w:szCs w:val="24"/>
        </w:rPr>
        <w:t xml:space="preserve">, 356 U.S. 86, 101 (1958). North Carolina’s Constitution, article I, section 27 similarly prohibits “cruel or unusual punishments,” and our Court </w:t>
      </w:r>
      <w:r w:rsidRPr="007C6623">
        <w:rPr>
          <w:rStyle w:val="ssrfcpassagedeactivated"/>
          <w:sz w:val="24"/>
          <w:szCs w:val="24"/>
        </w:rPr>
        <w:t xml:space="preserve">“historically has analyzed cruel and/or unusual punishment claims by criminal defendants the same under both the federal and state Constitutions.” </w:t>
      </w:r>
      <w:r w:rsidRPr="007C6623">
        <w:rPr>
          <w:i/>
          <w:sz w:val="24"/>
          <w:szCs w:val="24"/>
        </w:rPr>
        <w:t>State v. Green</w:t>
      </w:r>
      <w:r w:rsidRPr="007C6623">
        <w:rPr>
          <w:sz w:val="24"/>
          <w:szCs w:val="24"/>
        </w:rPr>
        <w:t>, 348 N.C. 588, 603 (1998).</w:t>
      </w:r>
      <w:r w:rsidR="006C5244">
        <w:rPr>
          <w:rStyle w:val="FootnoteReference"/>
          <w:sz w:val="24"/>
          <w:szCs w:val="24"/>
        </w:rPr>
        <w:footnoteReference w:id="2"/>
      </w:r>
      <w:r w:rsidRPr="007C6623">
        <w:rPr>
          <w:sz w:val="24"/>
          <w:szCs w:val="24"/>
        </w:rPr>
        <w:t xml:space="preserve"> The “clearest and most reliable objective evidence of contemporary values is the legislation enacted by the country’s legislatures” as well as “state practice.” </w:t>
      </w:r>
      <w:r w:rsidRPr="007C6623">
        <w:rPr>
          <w:i/>
          <w:sz w:val="24"/>
          <w:szCs w:val="24"/>
        </w:rPr>
        <w:t>Atkins v. Virginia</w:t>
      </w:r>
      <w:r w:rsidRPr="007C6623">
        <w:rPr>
          <w:sz w:val="24"/>
          <w:szCs w:val="24"/>
        </w:rPr>
        <w:t xml:space="preserve">, 536 U.S. 304, 312 (2002) (quoting </w:t>
      </w:r>
      <w:r w:rsidRPr="007C6623">
        <w:rPr>
          <w:i/>
          <w:sz w:val="24"/>
          <w:szCs w:val="24"/>
        </w:rPr>
        <w:t xml:space="preserve">Penry v. </w:t>
      </w:r>
      <w:proofErr w:type="spellStart"/>
      <w:r w:rsidRPr="007C6623">
        <w:rPr>
          <w:i/>
          <w:sz w:val="24"/>
          <w:szCs w:val="24"/>
        </w:rPr>
        <w:t>Lynaugh</w:t>
      </w:r>
      <w:proofErr w:type="spellEnd"/>
      <w:r w:rsidRPr="007C6623">
        <w:rPr>
          <w:sz w:val="24"/>
          <w:szCs w:val="24"/>
        </w:rPr>
        <w:t xml:space="preserve">, 492 U.S. 302 (1989)). </w:t>
      </w:r>
      <w:r w:rsidRPr="007C6623">
        <w:rPr>
          <w:i/>
          <w:sz w:val="24"/>
          <w:szCs w:val="24"/>
        </w:rPr>
        <w:t>See also</w:t>
      </w:r>
      <w:r w:rsidR="00CA0285">
        <w:rPr>
          <w:i/>
          <w:sz w:val="24"/>
          <w:szCs w:val="24"/>
        </w:rPr>
        <w:t xml:space="preserve"> </w:t>
      </w:r>
      <w:r w:rsidRPr="007C6623">
        <w:rPr>
          <w:i/>
          <w:sz w:val="24"/>
          <w:szCs w:val="24"/>
        </w:rPr>
        <w:t>Roper v. Simmons</w:t>
      </w:r>
      <w:r w:rsidRPr="007C6623">
        <w:rPr>
          <w:sz w:val="24"/>
          <w:szCs w:val="24"/>
        </w:rPr>
        <w:t>, 543 U.S. 551, 563 (2005) (finding “objective indicia of society’s standards” are “expressed in legislative enactments and state practice”).</w:t>
      </w:r>
    </w:p>
    <w:p w14:paraId="74CFCF73" w14:textId="641965E0" w:rsidR="00073BAA" w:rsidRDefault="007C6623">
      <w:pPr>
        <w:pStyle w:val="ListParagraph"/>
        <w:spacing w:line="276" w:lineRule="auto"/>
        <w:ind w:left="0"/>
        <w:rPr>
          <w:rStyle w:val="ssrfcpassagedeactivated"/>
          <w:sz w:val="24"/>
          <w:szCs w:val="24"/>
        </w:rPr>
      </w:pPr>
      <w:r>
        <w:rPr>
          <w:i/>
          <w:sz w:val="24"/>
          <w:szCs w:val="24"/>
        </w:rPr>
        <w:tab/>
      </w:r>
      <w:r w:rsidRPr="007C6623">
        <w:rPr>
          <w:sz w:val="24"/>
          <w:szCs w:val="24"/>
        </w:rPr>
        <w:t xml:space="preserve">The automatic prosecution and sentencing of a sixteen-year-old as an adult is inconsistent with current societal values and evolving standards of decency. </w:t>
      </w:r>
      <w:r w:rsidR="00D108C8">
        <w:rPr>
          <w:rStyle w:val="ssrfcpassagedeactivated"/>
          <w:sz w:val="24"/>
          <w:szCs w:val="24"/>
        </w:rPr>
        <w:t>F</w:t>
      </w:r>
      <w:r w:rsidRPr="007C6623">
        <w:rPr>
          <w:rStyle w:val="ssrfcpassagedeactivated"/>
          <w:sz w:val="24"/>
          <w:szCs w:val="24"/>
        </w:rPr>
        <w:t xml:space="preserve">ive states (Georgia, Michigan, Missouri, Texas, and Wisconsin) set the age for adult criminal responsibility at seventeen, and the remainder set it at eighteen. </w:t>
      </w:r>
      <w:r w:rsidRPr="007C6623">
        <w:rPr>
          <w:rStyle w:val="ssrfcpassagedeactivated"/>
          <w:i/>
          <w:sz w:val="24"/>
          <w:szCs w:val="24"/>
        </w:rPr>
        <w:t xml:space="preserve">See </w:t>
      </w:r>
      <w:r w:rsidRPr="007C6623">
        <w:rPr>
          <w:rStyle w:val="ssrfcpassagedeactivated"/>
          <w:sz w:val="24"/>
          <w:szCs w:val="24"/>
        </w:rPr>
        <w:t xml:space="preserve">Juvenile Justice Geography, Policy, Practice &amp; Statistics, </w:t>
      </w:r>
      <w:r w:rsidRPr="007C6623">
        <w:rPr>
          <w:rStyle w:val="ssrfcpassagedeactivated"/>
          <w:i/>
          <w:sz w:val="24"/>
          <w:szCs w:val="24"/>
        </w:rPr>
        <w:t>Jurisdictional Boundaries</w:t>
      </w:r>
      <w:r w:rsidRPr="007C6623">
        <w:rPr>
          <w:rStyle w:val="ssrfcpassagedeactivated"/>
          <w:sz w:val="24"/>
          <w:szCs w:val="24"/>
        </w:rPr>
        <w:t xml:space="preserve">, </w:t>
      </w:r>
      <w:r w:rsidRPr="007C6623">
        <w:rPr>
          <w:rStyle w:val="ssrfcpassagedeactivated"/>
          <w:i/>
          <w:sz w:val="24"/>
          <w:szCs w:val="24"/>
        </w:rPr>
        <w:t xml:space="preserve">available at </w:t>
      </w:r>
      <w:r w:rsidRPr="007C6623">
        <w:rPr>
          <w:rStyle w:val="ssrfcpassagedeactivated"/>
          <w:sz w:val="24"/>
          <w:szCs w:val="24"/>
        </w:rPr>
        <w:t xml:space="preserve">http://www.jjgps.org/jurisdictional-boundaries (last visited </w:t>
      </w:r>
      <w:r w:rsidR="00D108C8">
        <w:rPr>
          <w:rStyle w:val="ssrfcpassagedeactivated"/>
          <w:sz w:val="24"/>
          <w:szCs w:val="24"/>
        </w:rPr>
        <w:t>May 3</w:t>
      </w:r>
      <w:r>
        <w:rPr>
          <w:rStyle w:val="ssrfcpassagedeactivated"/>
          <w:sz w:val="24"/>
          <w:szCs w:val="24"/>
        </w:rPr>
        <w:t>0</w:t>
      </w:r>
      <w:r w:rsidRPr="007C6623">
        <w:rPr>
          <w:rStyle w:val="ssrfcpassagedeactivated"/>
          <w:sz w:val="24"/>
          <w:szCs w:val="24"/>
        </w:rPr>
        <w:t>, 2018)</w:t>
      </w:r>
      <w:r w:rsidR="00435B2A">
        <w:rPr>
          <w:rStyle w:val="ssrfcpassagedeactivated"/>
          <w:sz w:val="24"/>
          <w:szCs w:val="24"/>
        </w:rPr>
        <w:t xml:space="preserve"> [Appendix B]</w:t>
      </w:r>
      <w:r w:rsidRPr="007C6623">
        <w:rPr>
          <w:rStyle w:val="ssrfcpassagedeactivated"/>
          <w:sz w:val="24"/>
          <w:szCs w:val="24"/>
        </w:rPr>
        <w:t>.</w:t>
      </w:r>
      <w:r w:rsidR="009B42FB" w:rsidRPr="00D108C8">
        <w:rPr>
          <w:rStyle w:val="FootnoteReference"/>
          <w:sz w:val="24"/>
          <w:szCs w:val="24"/>
        </w:rPr>
        <w:footnoteReference w:id="3"/>
      </w:r>
      <w:r w:rsidR="00A05DA3">
        <w:rPr>
          <w:rStyle w:val="ssrfcpassagedeactivated"/>
          <w:sz w:val="24"/>
          <w:szCs w:val="24"/>
        </w:rPr>
        <w:t xml:space="preserve"> </w:t>
      </w:r>
      <w:r w:rsidR="001A34A5">
        <w:rPr>
          <w:rStyle w:val="ssrfcpassagedeactivated"/>
          <w:sz w:val="24"/>
          <w:szCs w:val="24"/>
        </w:rPr>
        <w:t xml:space="preserve">Notably, the national consensus concerning the appropriate age for automatic adult prosecution is vastly stronger than the consensus that existed when the Supreme Court ruled in </w:t>
      </w:r>
      <w:r w:rsidR="001A34A5">
        <w:rPr>
          <w:rStyle w:val="ssrfcpassagedeactivated"/>
          <w:i/>
          <w:sz w:val="24"/>
          <w:szCs w:val="24"/>
        </w:rPr>
        <w:t xml:space="preserve">Graham </w:t>
      </w:r>
      <w:r w:rsidR="001A34A5">
        <w:rPr>
          <w:rStyle w:val="ssrfcpassagedeactivated"/>
          <w:sz w:val="24"/>
          <w:szCs w:val="24"/>
        </w:rPr>
        <w:t xml:space="preserve">that life without the possibility of parole for juvenile non-homicide offenders was unconstitutional, 560 U.S. at 62 (39 jurisdictions permitting), or than when it ruled in </w:t>
      </w:r>
      <w:r w:rsidR="001A34A5">
        <w:rPr>
          <w:rStyle w:val="ssrfcpassagedeactivated"/>
          <w:i/>
          <w:sz w:val="24"/>
          <w:szCs w:val="24"/>
        </w:rPr>
        <w:t xml:space="preserve">Miller </w:t>
      </w:r>
      <w:r w:rsidR="001A34A5">
        <w:rPr>
          <w:rStyle w:val="ssrfcpassagedeactivated"/>
          <w:sz w:val="24"/>
          <w:szCs w:val="24"/>
        </w:rPr>
        <w:t>that mandatory life without the possibility of parole for juvenile homicide offenders was unconstitutional, 567 U.S. at 482 (29 jurisdictions per</w:t>
      </w:r>
      <w:r w:rsidR="00FD0D54">
        <w:rPr>
          <w:rStyle w:val="ssrfcpassagedeactivated"/>
          <w:sz w:val="24"/>
          <w:szCs w:val="24"/>
        </w:rPr>
        <w:t xml:space="preserve">mitting). </w:t>
      </w:r>
      <w:r w:rsidR="00544C34">
        <w:rPr>
          <w:rStyle w:val="ssrfcpassagedeactivated"/>
          <w:sz w:val="24"/>
          <w:szCs w:val="24"/>
        </w:rPr>
        <w:t>Moreover</w:t>
      </w:r>
      <w:r w:rsidR="00FD0D54">
        <w:rPr>
          <w:rStyle w:val="ssrfcpassagedeactivated"/>
          <w:sz w:val="24"/>
          <w:szCs w:val="24"/>
        </w:rPr>
        <w:t xml:space="preserve">, </w:t>
      </w:r>
      <w:r w:rsidR="00FD0D54">
        <w:rPr>
          <w:rStyle w:val="ssrfcpassagedeactivated"/>
          <w:i/>
          <w:sz w:val="24"/>
          <w:szCs w:val="24"/>
        </w:rPr>
        <w:t>Miller</w:t>
      </w:r>
      <w:r w:rsidR="00FD0D54">
        <w:rPr>
          <w:rStyle w:val="ssrfcpassagedeactivated"/>
          <w:sz w:val="24"/>
          <w:szCs w:val="24"/>
        </w:rPr>
        <w:t xml:space="preserve"> itself holds that “</w:t>
      </w:r>
      <w:r w:rsidR="00FD0D54" w:rsidRPr="00FD0D54">
        <w:rPr>
          <w:rStyle w:val="ssrfcpassagedeactivated"/>
          <w:sz w:val="24"/>
          <w:szCs w:val="24"/>
        </w:rPr>
        <w:t>none of what it said about children</w:t>
      </w:r>
      <w:r w:rsidR="00CC144B">
        <w:rPr>
          <w:rStyle w:val="ssrfcpassagedeactivated"/>
          <w:sz w:val="24"/>
          <w:szCs w:val="24"/>
        </w:rPr>
        <w:t>—</w:t>
      </w:r>
      <w:r w:rsidR="00FD0D54" w:rsidRPr="00FD0D54">
        <w:rPr>
          <w:rStyle w:val="ssrfcpassagedeactivated"/>
          <w:sz w:val="24"/>
          <w:szCs w:val="24"/>
        </w:rPr>
        <w:t>about their distinctive (and transitory) mental traits and environmental vulnerabilities—is crime-specific.</w:t>
      </w:r>
      <w:r w:rsidR="00544C34">
        <w:rPr>
          <w:rStyle w:val="ssrfcpassagedeactivated"/>
          <w:sz w:val="24"/>
          <w:szCs w:val="24"/>
        </w:rPr>
        <w:t>”</w:t>
      </w:r>
      <w:r w:rsidR="00A05DA3">
        <w:rPr>
          <w:rStyle w:val="ssrfcpassagedeactivated"/>
          <w:sz w:val="24"/>
          <w:szCs w:val="24"/>
        </w:rPr>
        <w:t xml:space="preserve"> </w:t>
      </w:r>
      <w:r w:rsidR="00FD0D54" w:rsidRPr="00FD0D54">
        <w:rPr>
          <w:rStyle w:val="ssrfcpassagedeactivated"/>
          <w:i/>
          <w:sz w:val="24"/>
          <w:szCs w:val="24"/>
        </w:rPr>
        <w:t>Id.</w:t>
      </w:r>
      <w:r w:rsidR="00FD0D54">
        <w:rPr>
          <w:rStyle w:val="ssrfcpassagedeactivated"/>
          <w:sz w:val="24"/>
          <w:szCs w:val="24"/>
        </w:rPr>
        <w:t xml:space="preserve"> at 412.</w:t>
      </w:r>
    </w:p>
    <w:p w14:paraId="635666F6" w14:textId="6DA2FD90" w:rsidR="00073BAA" w:rsidRDefault="001A34A5">
      <w:pPr>
        <w:pStyle w:val="ListParagraph"/>
        <w:spacing w:line="276" w:lineRule="auto"/>
        <w:ind w:left="0"/>
        <w:rPr>
          <w:rStyle w:val="ssrfcpassagedeactivated"/>
          <w:sz w:val="24"/>
          <w:szCs w:val="24"/>
        </w:rPr>
      </w:pPr>
      <w:r>
        <w:rPr>
          <w:rStyle w:val="ssrfcpassagedeactivated"/>
          <w:sz w:val="24"/>
          <w:szCs w:val="24"/>
        </w:rPr>
        <w:tab/>
        <w:t>Perhaps most compellingly, a</w:t>
      </w:r>
      <w:r w:rsidR="007C6623">
        <w:rPr>
          <w:rStyle w:val="ssrfcpassagedeactivated"/>
          <w:sz w:val="24"/>
          <w:szCs w:val="24"/>
        </w:rPr>
        <w:t xml:space="preserve">ll states that have passed recent legislation concerning the age of adult criminal responsibility have raised, not lowered, the age. </w:t>
      </w:r>
      <w:r w:rsidRPr="007C6623">
        <w:rPr>
          <w:rStyle w:val="ssrfcpassagedeactivated"/>
          <w:i/>
          <w:sz w:val="24"/>
          <w:szCs w:val="24"/>
        </w:rPr>
        <w:t>See</w:t>
      </w:r>
      <w:r w:rsidR="00435B2A">
        <w:rPr>
          <w:rStyle w:val="ssrfcpassagedeactivated"/>
          <w:i/>
          <w:sz w:val="24"/>
          <w:szCs w:val="24"/>
        </w:rPr>
        <w:t xml:space="preserve"> </w:t>
      </w:r>
      <w:r w:rsidR="00435B2A">
        <w:rPr>
          <w:rStyle w:val="ssrfcpassagedeactivated"/>
          <w:sz w:val="24"/>
          <w:szCs w:val="24"/>
        </w:rPr>
        <w:t xml:space="preserve">Appendix B. </w:t>
      </w:r>
      <w:r w:rsidR="009B42FB">
        <w:rPr>
          <w:rStyle w:val="ssrfcpassagedeactivated"/>
          <w:sz w:val="24"/>
          <w:szCs w:val="24"/>
        </w:rPr>
        <w:t xml:space="preserve">This includes North Carolina, whose JJRA brought it </w:t>
      </w:r>
      <w:r w:rsidR="009B42FB" w:rsidRPr="007C6623">
        <w:rPr>
          <w:rStyle w:val="ssrfcpassagedeactivated"/>
          <w:sz w:val="24"/>
          <w:szCs w:val="24"/>
        </w:rPr>
        <w:t xml:space="preserve">in line with all other states and the District of Columbia. </w:t>
      </w:r>
      <w:r w:rsidR="009B42FB">
        <w:rPr>
          <w:rStyle w:val="ssrfcpassagedeactivated"/>
          <w:sz w:val="24"/>
          <w:szCs w:val="24"/>
        </w:rPr>
        <w:t xml:space="preserve">With this Act, North Carolina </w:t>
      </w:r>
      <w:r w:rsidR="009B42FB" w:rsidRPr="007C6623">
        <w:rPr>
          <w:rStyle w:val="ssrfcpassagedeactivated"/>
          <w:sz w:val="24"/>
          <w:szCs w:val="24"/>
        </w:rPr>
        <w:t xml:space="preserve">now </w:t>
      </w:r>
      <w:r w:rsidR="009B42FB">
        <w:rPr>
          <w:rStyle w:val="ssrfcpassagedeactivated"/>
          <w:sz w:val="24"/>
          <w:szCs w:val="24"/>
        </w:rPr>
        <w:t>statutorily recognizes</w:t>
      </w:r>
      <w:r w:rsidR="009B42FB" w:rsidRPr="007C6623">
        <w:rPr>
          <w:rStyle w:val="ssrfcpassagedeactivated"/>
          <w:sz w:val="24"/>
          <w:szCs w:val="24"/>
        </w:rPr>
        <w:t xml:space="preserve"> that sixteen- and seventeen-</w:t>
      </w:r>
      <w:r w:rsidR="009B42FB" w:rsidRPr="007C6623">
        <w:rPr>
          <w:rStyle w:val="ssrfcpassagedeactivated"/>
          <w:sz w:val="24"/>
          <w:szCs w:val="24"/>
        </w:rPr>
        <w:lastRenderedPageBreak/>
        <w:t xml:space="preserve">year </w:t>
      </w:r>
      <w:proofErr w:type="spellStart"/>
      <w:r w:rsidR="009B42FB" w:rsidRPr="007C6623">
        <w:rPr>
          <w:rStyle w:val="ssrfcpassagedeactivated"/>
          <w:sz w:val="24"/>
          <w:szCs w:val="24"/>
        </w:rPr>
        <w:t>olds</w:t>
      </w:r>
      <w:proofErr w:type="spellEnd"/>
      <w:r w:rsidR="009B42FB" w:rsidRPr="007C6623">
        <w:rPr>
          <w:rStyle w:val="ssrfcpassagedeactivated"/>
          <w:sz w:val="24"/>
          <w:szCs w:val="24"/>
        </w:rPr>
        <w:t xml:space="preserve"> should not be automatically prosecuted as adults when </w:t>
      </w:r>
      <w:r w:rsidR="009B42FB" w:rsidRPr="00D108C8">
        <w:rPr>
          <w:rStyle w:val="ssrfcpassagedeactivated"/>
          <w:sz w:val="24"/>
          <w:szCs w:val="24"/>
        </w:rPr>
        <w:t>they commit non-violent criminal offenses.</w:t>
      </w:r>
    </w:p>
    <w:p w14:paraId="04B8D2B2" w14:textId="74141F5F" w:rsidR="00073BAA" w:rsidRDefault="009B42FB">
      <w:pPr>
        <w:pStyle w:val="ListParagraph"/>
        <w:spacing w:line="276" w:lineRule="auto"/>
        <w:ind w:left="0"/>
        <w:rPr>
          <w:rStyle w:val="ssrfcpassagedeactivated"/>
          <w:sz w:val="24"/>
          <w:szCs w:val="24"/>
        </w:rPr>
      </w:pPr>
      <w:r>
        <w:rPr>
          <w:rStyle w:val="ssrfcpassagedeactivated"/>
          <w:sz w:val="24"/>
          <w:szCs w:val="24"/>
        </w:rPr>
        <w:tab/>
      </w:r>
      <w:r w:rsidRPr="00D108C8">
        <w:rPr>
          <w:rStyle w:val="ssrfcpassagedeactivated"/>
          <w:sz w:val="24"/>
          <w:szCs w:val="24"/>
        </w:rPr>
        <w:t>States, including North Carolina, thus are unanimous in d</w:t>
      </w:r>
      <w:r>
        <w:rPr>
          <w:rStyle w:val="ssrfcpassagedeactivated"/>
          <w:sz w:val="24"/>
          <w:szCs w:val="24"/>
        </w:rPr>
        <w:t xml:space="preserve">eclaring that sixteen-year-olds </w:t>
      </w:r>
      <w:r w:rsidRPr="00D108C8">
        <w:rPr>
          <w:rStyle w:val="ssrfcpassagedeactivated"/>
          <w:sz w:val="24"/>
          <w:szCs w:val="24"/>
        </w:rPr>
        <w:t xml:space="preserve">should not be automatically tried as adults, a declaration that is in accord with the scientific and constitutional distinction between adults and juveniles. </w:t>
      </w:r>
      <w:r w:rsidRPr="00D108C8">
        <w:rPr>
          <w:rStyle w:val="ssrfcpassagedeactivated"/>
          <w:i/>
          <w:sz w:val="24"/>
          <w:szCs w:val="24"/>
        </w:rPr>
        <w:t>See, e.g., Miller</w:t>
      </w:r>
      <w:r w:rsidRPr="00D108C8">
        <w:rPr>
          <w:rStyle w:val="ssrfcpassagedeactivated"/>
          <w:sz w:val="24"/>
          <w:szCs w:val="24"/>
        </w:rPr>
        <w:t>, 567 U.S.</w:t>
      </w:r>
      <w:r w:rsidR="00544C34">
        <w:rPr>
          <w:rStyle w:val="ssrfcpassagedeactivated"/>
          <w:sz w:val="24"/>
          <w:szCs w:val="24"/>
        </w:rPr>
        <w:t xml:space="preserve"> at</w:t>
      </w:r>
      <w:r w:rsidRPr="00D108C8">
        <w:rPr>
          <w:rStyle w:val="ssrfcpassagedeactivated"/>
          <w:sz w:val="24"/>
          <w:szCs w:val="24"/>
        </w:rPr>
        <w:t xml:space="preserve"> 471(“[C]</w:t>
      </w:r>
      <w:proofErr w:type="spellStart"/>
      <w:r w:rsidRPr="00D108C8">
        <w:rPr>
          <w:rStyle w:val="ssrfcpassagedeactivated"/>
          <w:sz w:val="24"/>
          <w:szCs w:val="24"/>
        </w:rPr>
        <w:t>hildren</w:t>
      </w:r>
      <w:proofErr w:type="spellEnd"/>
      <w:r w:rsidRPr="00D108C8">
        <w:rPr>
          <w:rStyle w:val="ssrfcpassagedeactivated"/>
          <w:sz w:val="24"/>
          <w:szCs w:val="24"/>
        </w:rPr>
        <w:t xml:space="preserve"> are constitutionally different</w:t>
      </w:r>
      <w:r w:rsidRPr="006973FD">
        <w:rPr>
          <w:rStyle w:val="ssrfcpassagedeactivated"/>
          <w:sz w:val="24"/>
          <w:szCs w:val="24"/>
        </w:rPr>
        <w:t xml:space="preserve"> from adults for purposes </w:t>
      </w:r>
      <w:r w:rsidRPr="008264F8">
        <w:rPr>
          <w:rStyle w:val="ssrfcpassagedeactivated"/>
          <w:sz w:val="24"/>
          <w:szCs w:val="24"/>
        </w:rPr>
        <w:t>of sentencing.”);</w:t>
      </w:r>
      <w:r w:rsidR="00CC144B">
        <w:rPr>
          <w:rStyle w:val="ssrfcpassagedeactivated"/>
          <w:sz w:val="24"/>
          <w:szCs w:val="24"/>
        </w:rPr>
        <w:t xml:space="preserve"> </w:t>
      </w:r>
      <w:r w:rsidRPr="008264F8">
        <w:rPr>
          <w:i/>
          <w:iCs/>
          <w:sz w:val="24"/>
          <w:szCs w:val="24"/>
        </w:rPr>
        <w:t>J.D.B. v. North Carolina</w:t>
      </w:r>
      <w:r w:rsidRPr="008264F8">
        <w:rPr>
          <w:sz w:val="24"/>
          <w:szCs w:val="24"/>
        </w:rPr>
        <w:t>, 564 U.S. 261, 274 (2011) (“[C]</w:t>
      </w:r>
      <w:proofErr w:type="spellStart"/>
      <w:r w:rsidRPr="008264F8">
        <w:rPr>
          <w:rStyle w:val="ssrfcpassagedeactivated"/>
          <w:sz w:val="24"/>
          <w:szCs w:val="24"/>
        </w:rPr>
        <w:t>hildren</w:t>
      </w:r>
      <w:proofErr w:type="spellEnd"/>
      <w:r w:rsidRPr="008264F8">
        <w:rPr>
          <w:rStyle w:val="ssrfcpassagedeactivated"/>
          <w:sz w:val="24"/>
          <w:szCs w:val="24"/>
        </w:rPr>
        <w:t xml:space="preserve"> cannot be viewed simply as miniature adults.”); </w:t>
      </w:r>
      <w:r w:rsidRPr="008264F8">
        <w:rPr>
          <w:i/>
          <w:sz w:val="24"/>
          <w:szCs w:val="24"/>
        </w:rPr>
        <w:t>State v. Sterling</w:t>
      </w:r>
      <w:r w:rsidRPr="008264F8">
        <w:rPr>
          <w:sz w:val="24"/>
          <w:szCs w:val="24"/>
        </w:rPr>
        <w:t>, 233 N.C. App. 730, 734 (2014) (noting that age 18 serves as a “bright line” for constitutional challenges to sentencing schemes).</w:t>
      </w:r>
      <w:r>
        <w:rPr>
          <w:sz w:val="24"/>
          <w:szCs w:val="24"/>
        </w:rPr>
        <w:t xml:space="preserve"> Moreover, t</w:t>
      </w:r>
      <w:r w:rsidR="001A34A5">
        <w:rPr>
          <w:rStyle w:val="ssrfcpassagedeactivated"/>
          <w:sz w:val="24"/>
          <w:szCs w:val="24"/>
        </w:rPr>
        <w:t>he “consistency in the direction of change” is “powerful evidence” of evolving standards of decency</w:t>
      </w:r>
      <w:r>
        <w:rPr>
          <w:rStyle w:val="ssrfcpassagedeactivated"/>
          <w:sz w:val="24"/>
          <w:szCs w:val="24"/>
        </w:rPr>
        <w:t>,</w:t>
      </w:r>
      <w:r w:rsidR="00A05DA3">
        <w:rPr>
          <w:rStyle w:val="ssrfcpassagedeactivated"/>
          <w:sz w:val="24"/>
          <w:szCs w:val="24"/>
        </w:rPr>
        <w:t xml:space="preserve"> </w:t>
      </w:r>
      <w:r w:rsidR="001A34A5">
        <w:rPr>
          <w:rStyle w:val="ssrfcpassagedeactivated"/>
          <w:i/>
          <w:sz w:val="24"/>
          <w:szCs w:val="24"/>
        </w:rPr>
        <w:t>Atkins</w:t>
      </w:r>
      <w:r w:rsidR="001A34A5">
        <w:rPr>
          <w:rStyle w:val="ssrfcpassagedeactivated"/>
          <w:sz w:val="24"/>
          <w:szCs w:val="24"/>
        </w:rPr>
        <w:t xml:space="preserve">, 536 U.S. </w:t>
      </w:r>
      <w:r>
        <w:rPr>
          <w:rStyle w:val="ssrfcpassagedeactivated"/>
          <w:sz w:val="24"/>
          <w:szCs w:val="24"/>
        </w:rPr>
        <w:t xml:space="preserve">at </w:t>
      </w:r>
      <w:r w:rsidR="001A34A5">
        <w:rPr>
          <w:rStyle w:val="ssrfcpassagedeactivated"/>
          <w:sz w:val="24"/>
          <w:szCs w:val="24"/>
        </w:rPr>
        <w:t>3</w:t>
      </w:r>
      <w:r>
        <w:rPr>
          <w:rStyle w:val="ssrfcpassagedeactivated"/>
          <w:sz w:val="24"/>
          <w:szCs w:val="24"/>
        </w:rPr>
        <w:t xml:space="preserve">15, and in this instance compels the conclusion that the automatic prosecution of </w:t>
      </w:r>
      <w:r w:rsidR="00645DE6">
        <w:rPr>
          <w:sz w:val="24"/>
          <w:szCs w:val="24"/>
        </w:rPr>
        <w:t>Halo</w:t>
      </w:r>
      <w:r w:rsidR="00950F3E">
        <w:rPr>
          <w:sz w:val="24"/>
          <w:szCs w:val="24"/>
        </w:rPr>
        <w:t xml:space="preserve"> </w:t>
      </w:r>
      <w:r>
        <w:rPr>
          <w:rStyle w:val="ssrfcpassagedeactivated"/>
          <w:sz w:val="24"/>
          <w:szCs w:val="24"/>
        </w:rPr>
        <w:t>in adult court is unconstitutional.</w:t>
      </w:r>
    </w:p>
    <w:p w14:paraId="4177BCA6" w14:textId="3DD7AB01" w:rsidR="00073BAA" w:rsidRDefault="006973FD">
      <w:pPr>
        <w:spacing w:line="276" w:lineRule="auto"/>
        <w:rPr>
          <w:rStyle w:val="ssrfcpassagedeactivated"/>
        </w:rPr>
      </w:pPr>
      <w:r w:rsidRPr="008264F8">
        <w:rPr>
          <w:rStyle w:val="ssrfcpassagedeactivated"/>
        </w:rPr>
        <w:tab/>
      </w:r>
      <w:r w:rsidR="008264F8" w:rsidRPr="008264F8">
        <w:t>No judgment in adult court can lie consistently with the Eighth Amendment.</w:t>
      </w:r>
      <w:r w:rsidR="00A05DA3">
        <w:t xml:space="preserve"> </w:t>
      </w:r>
      <w:r w:rsidR="00542081">
        <w:t xml:space="preserve">Automatic prosecution in adult court triggers a slew of </w:t>
      </w:r>
      <w:r w:rsidR="001F5449">
        <w:t>serious—and many permanent</w:t>
      </w:r>
      <w:r w:rsidR="00544C34">
        <w:t>—</w:t>
      </w:r>
      <w:r w:rsidR="00542081">
        <w:t>consequences: public records of arrest</w:t>
      </w:r>
      <w:r w:rsidR="007C6A20">
        <w:t>,</w:t>
      </w:r>
      <w:r w:rsidR="00542081">
        <w:t xml:space="preserve"> housing in adult jail s</w:t>
      </w:r>
      <w:r w:rsidR="007C6A20">
        <w:t>ubject to the adult bail scheme,</w:t>
      </w:r>
      <w:r w:rsidR="00A05DA3">
        <w:t xml:space="preserve"> </w:t>
      </w:r>
      <w:r w:rsidR="007C6A20">
        <w:t>absence of parental involvement,</w:t>
      </w:r>
      <w:r w:rsidR="00542081">
        <w:t xml:space="preserve"> public record of c</w:t>
      </w:r>
      <w:r w:rsidR="007C6A20">
        <w:t>onviction,</w:t>
      </w:r>
      <w:r w:rsidR="00542081">
        <w:t xml:space="preserve"> sentencing under more punitive adult sentencing rules</w:t>
      </w:r>
      <w:r w:rsidR="007C6A20">
        <w:t>,</w:t>
      </w:r>
      <w:r w:rsidR="00542081">
        <w:t xml:space="preserve"> service of sentence in the adult probation or adu</w:t>
      </w:r>
      <w:r w:rsidR="007C6A20">
        <w:t>lt prison systems,</w:t>
      </w:r>
      <w:r w:rsidR="00542081">
        <w:t xml:space="preserve"> and extensive collateral consequences of conviction. </w:t>
      </w:r>
      <w:r w:rsidR="00542081">
        <w:rPr>
          <w:i/>
        </w:rPr>
        <w:t xml:space="preserve">See </w:t>
      </w:r>
      <w:r w:rsidR="00542081">
        <w:t>the Report, pages 4-6 (comparing adult and j</w:t>
      </w:r>
      <w:r w:rsidR="00542081" w:rsidRPr="00542081">
        <w:t>uvenile proceedings).</w:t>
      </w:r>
      <w:r w:rsidR="00210886">
        <w:t xml:space="preserve"> </w:t>
      </w:r>
      <w:r w:rsidR="00435B2A">
        <w:t xml:space="preserve">The prosecution of a sixteen- or seventeen-year-old who commits a crime before December 2019 “takes on a punitive aspect that cannot be justified by our Constitution.” </w:t>
      </w:r>
      <w:r w:rsidR="00CC144B" w:rsidRPr="00451D07">
        <w:rPr>
          <w:i/>
        </w:rPr>
        <w:t>In re State ex rel. C.K.</w:t>
      </w:r>
      <w:r w:rsidR="00CC144B" w:rsidRPr="00451D07">
        <w:t xml:space="preserve">, </w:t>
      </w:r>
      <w:r w:rsidR="00CC144B">
        <w:t>182 A.3d 917, 935</w:t>
      </w:r>
      <w:r w:rsidR="00CC144B" w:rsidRPr="00451D07">
        <w:t xml:space="preserve"> (</w:t>
      </w:r>
      <w:r w:rsidR="00CC144B">
        <w:t xml:space="preserve">N.J. </w:t>
      </w:r>
      <w:r w:rsidR="00CC144B" w:rsidRPr="00451D07">
        <w:t xml:space="preserve">2018). </w:t>
      </w:r>
      <w:proofErr w:type="gramStart"/>
      <w:r w:rsidR="00210886">
        <w:t>Thus</w:t>
      </w:r>
      <w:proofErr w:type="gramEnd"/>
      <w:r w:rsidR="00210886">
        <w:t xml:space="preserve"> </w:t>
      </w:r>
      <w:r w:rsidR="00BB5B32">
        <w:t>CLIENT</w:t>
      </w:r>
      <w:r w:rsidR="00210886">
        <w:t xml:space="preserve"> has already been “punished” in a constitutionally significant manner.</w:t>
      </w:r>
      <w:r w:rsidR="00A05DA3">
        <w:t xml:space="preserve"> </w:t>
      </w:r>
      <w:r w:rsidR="00542081" w:rsidRPr="00542081">
        <w:rPr>
          <w:i/>
        </w:rPr>
        <w:t>Accord United States v. Juvenile Male</w:t>
      </w:r>
      <w:r w:rsidR="00542081" w:rsidRPr="00542081">
        <w:t>, 819 F.2d 468, 471 (4</w:t>
      </w:r>
      <w:r w:rsidR="00542081" w:rsidRPr="00542081">
        <w:rPr>
          <w:vertAlign w:val="superscript"/>
        </w:rPr>
        <w:t>th</w:t>
      </w:r>
      <w:r w:rsidR="00542081" w:rsidRPr="00542081">
        <w:t xml:space="preserve"> Cir. 1987) (“The significance of the ‘transfer’ [to adult court] is not that the transferred defendant must appear in a different court, the district court, and defend himself according to the procedural rules of the district court instead of those of a juvenile court. Rather, its significance is that the transferred defendant is suddenly subject</w:t>
      </w:r>
      <w:r w:rsidR="00707212">
        <w:t xml:space="preserve"> to much more severe punishment</w:t>
      </w:r>
      <w:r w:rsidR="003A076E">
        <w:t>.</w:t>
      </w:r>
      <w:r w:rsidR="00542081" w:rsidRPr="00542081">
        <w:t>”).</w:t>
      </w:r>
      <w:r w:rsidR="00707212">
        <w:rPr>
          <w:rStyle w:val="FootnoteReference"/>
        </w:rPr>
        <w:footnoteReference w:id="4"/>
      </w:r>
    </w:p>
    <w:p w14:paraId="298CF8CF" w14:textId="023860AF" w:rsidR="00073BAA" w:rsidRDefault="008264F8">
      <w:pPr>
        <w:pStyle w:val="ListParagraph"/>
        <w:spacing w:line="276" w:lineRule="auto"/>
        <w:ind w:left="0"/>
        <w:rPr>
          <w:sz w:val="24"/>
          <w:szCs w:val="24"/>
        </w:rPr>
      </w:pPr>
      <w:r>
        <w:rPr>
          <w:rStyle w:val="ssrfcpassagedeactivated"/>
          <w:sz w:val="24"/>
          <w:szCs w:val="24"/>
        </w:rPr>
        <w:tab/>
      </w:r>
      <w:r w:rsidR="007C6623" w:rsidRPr="00D108C8">
        <w:rPr>
          <w:rStyle w:val="ssrfcpassagedeactivated"/>
          <w:sz w:val="24"/>
          <w:szCs w:val="24"/>
        </w:rPr>
        <w:t xml:space="preserve">For these reasons, </w:t>
      </w:r>
      <w:r w:rsidR="00A05DA3">
        <w:rPr>
          <w:rStyle w:val="ssrfcpassagedeactivated"/>
          <w:sz w:val="24"/>
          <w:szCs w:val="24"/>
        </w:rPr>
        <w:t>prosecuting and/or sentencing</w:t>
      </w:r>
      <w:r w:rsidR="007C6623" w:rsidRPr="00D108C8">
        <w:rPr>
          <w:rStyle w:val="ssrfcpassagedeactivated"/>
          <w:sz w:val="24"/>
          <w:szCs w:val="24"/>
        </w:rPr>
        <w:t xml:space="preserve"> </w:t>
      </w:r>
      <w:r w:rsidR="00BB5B32">
        <w:rPr>
          <w:rStyle w:val="ssrfcpassagedeactivated"/>
          <w:sz w:val="24"/>
          <w:szCs w:val="24"/>
        </w:rPr>
        <w:t>CLIENT</w:t>
      </w:r>
      <w:r w:rsidR="007C6623" w:rsidRPr="00D108C8">
        <w:rPr>
          <w:rStyle w:val="ssrfcpassagedeactivated"/>
          <w:sz w:val="24"/>
          <w:szCs w:val="24"/>
        </w:rPr>
        <w:t xml:space="preserve"> as an adult would violate the</w:t>
      </w:r>
      <w:r w:rsidR="006973FD">
        <w:rPr>
          <w:rStyle w:val="ssrfcpassagedeactivated"/>
          <w:sz w:val="24"/>
          <w:szCs w:val="24"/>
        </w:rPr>
        <w:t xml:space="preserve"> prohibition against cruel and unusual punishment.</w:t>
      </w:r>
    </w:p>
    <w:p w14:paraId="2031E223" w14:textId="77777777" w:rsidR="00073BAA" w:rsidRDefault="00073BAA">
      <w:pPr>
        <w:pStyle w:val="ListParagraph"/>
        <w:spacing w:line="276" w:lineRule="auto"/>
        <w:rPr>
          <w:sz w:val="24"/>
          <w:szCs w:val="24"/>
        </w:rPr>
      </w:pPr>
    </w:p>
    <w:p w14:paraId="34BD1063" w14:textId="77777777" w:rsidR="00073BAA" w:rsidRDefault="004D0A09">
      <w:pPr>
        <w:pStyle w:val="ListParagraph"/>
        <w:numPr>
          <w:ilvl w:val="0"/>
          <w:numId w:val="11"/>
        </w:numPr>
        <w:spacing w:line="276" w:lineRule="auto"/>
        <w:ind w:left="0" w:firstLine="0"/>
        <w:jc w:val="center"/>
        <w:rPr>
          <w:b/>
          <w:sz w:val="24"/>
          <w:szCs w:val="24"/>
        </w:rPr>
      </w:pPr>
      <w:r>
        <w:rPr>
          <w:b/>
          <w:sz w:val="24"/>
          <w:szCs w:val="24"/>
        </w:rPr>
        <w:t>Conclusion</w:t>
      </w:r>
    </w:p>
    <w:p w14:paraId="542A7E3B" w14:textId="77777777" w:rsidR="00073BAA" w:rsidRDefault="004D0A09">
      <w:pPr>
        <w:pStyle w:val="ListParagraph"/>
        <w:spacing w:line="276" w:lineRule="auto"/>
        <w:ind w:left="0"/>
        <w:jc w:val="center"/>
        <w:rPr>
          <w:b/>
          <w:sz w:val="24"/>
          <w:szCs w:val="24"/>
        </w:rPr>
      </w:pPr>
      <w:r>
        <w:rPr>
          <w:b/>
          <w:sz w:val="24"/>
          <w:szCs w:val="24"/>
        </w:rPr>
        <w:tab/>
      </w:r>
    </w:p>
    <w:p w14:paraId="7D397638" w14:textId="10F4B3C4" w:rsidR="00073BAA" w:rsidRDefault="004D0A09">
      <w:pPr>
        <w:pStyle w:val="ListParagraph"/>
        <w:spacing w:line="276" w:lineRule="auto"/>
        <w:ind w:left="0"/>
        <w:rPr>
          <w:rStyle w:val="ssleftalign"/>
          <w:sz w:val="24"/>
          <w:szCs w:val="24"/>
        </w:rPr>
      </w:pPr>
      <w:r>
        <w:rPr>
          <w:b/>
          <w:sz w:val="24"/>
          <w:szCs w:val="24"/>
        </w:rPr>
        <w:tab/>
      </w:r>
      <w:r w:rsidRPr="004D0A09">
        <w:rPr>
          <w:rStyle w:val="ssit"/>
          <w:sz w:val="24"/>
          <w:szCs w:val="24"/>
        </w:rPr>
        <w:t>For the foregoing reasons</w:t>
      </w:r>
      <w:r w:rsidR="009F6CD6">
        <w:rPr>
          <w:rStyle w:val="ssit"/>
          <w:sz w:val="24"/>
          <w:szCs w:val="24"/>
        </w:rPr>
        <w:t xml:space="preserve">, </w:t>
      </w:r>
      <w:r w:rsidR="00BB5B32">
        <w:rPr>
          <w:rStyle w:val="ssit"/>
          <w:sz w:val="24"/>
          <w:szCs w:val="24"/>
        </w:rPr>
        <w:t>CLIENT</w:t>
      </w:r>
      <w:r w:rsidR="00950F3E">
        <w:rPr>
          <w:rStyle w:val="ssit"/>
          <w:sz w:val="24"/>
          <w:szCs w:val="24"/>
        </w:rPr>
        <w:t>’s</w:t>
      </w:r>
      <w:r w:rsidRPr="009D63AF">
        <w:rPr>
          <w:rStyle w:val="ssit"/>
          <w:sz w:val="24"/>
          <w:szCs w:val="24"/>
        </w:rPr>
        <w:t xml:space="preserve"> “</w:t>
      </w:r>
      <w:r w:rsidRPr="009D63AF">
        <w:rPr>
          <w:rStyle w:val="ssleftalign"/>
          <w:sz w:val="24"/>
          <w:szCs w:val="24"/>
        </w:rPr>
        <w:t>constitutional rights have been flagrantly violated and there is such irreparable prejudi</w:t>
      </w:r>
      <w:r w:rsidR="00D108C8">
        <w:rPr>
          <w:rStyle w:val="ssleftalign"/>
          <w:sz w:val="24"/>
          <w:szCs w:val="24"/>
        </w:rPr>
        <w:t>ce to the defendant’</w:t>
      </w:r>
      <w:r w:rsidRPr="009D63AF">
        <w:rPr>
          <w:rStyle w:val="ssleftalign"/>
          <w:sz w:val="24"/>
          <w:szCs w:val="24"/>
        </w:rPr>
        <w:t>s preparation of his case that there is no remedy but to dismiss the prosecution.</w:t>
      </w:r>
      <w:r w:rsidR="009D63AF" w:rsidRPr="009D63AF">
        <w:rPr>
          <w:rStyle w:val="ssleftalign"/>
          <w:sz w:val="24"/>
          <w:szCs w:val="24"/>
        </w:rPr>
        <w:t>” N.C.G.S. § 15A-954(a)(4).</w:t>
      </w:r>
    </w:p>
    <w:p w14:paraId="20794BEA" w14:textId="77777777" w:rsidR="00073BAA" w:rsidRDefault="009D63AF">
      <w:pPr>
        <w:pStyle w:val="ListParagraph"/>
        <w:spacing w:line="276" w:lineRule="auto"/>
        <w:ind w:left="0"/>
        <w:rPr>
          <w:rStyle w:val="ssit"/>
          <w:b/>
          <w:sz w:val="24"/>
          <w:szCs w:val="24"/>
        </w:rPr>
      </w:pPr>
      <w:r>
        <w:rPr>
          <w:rStyle w:val="ssleftalign"/>
          <w:sz w:val="24"/>
          <w:szCs w:val="24"/>
        </w:rPr>
        <w:tab/>
      </w:r>
      <w:r w:rsidR="006B2BBC">
        <w:rPr>
          <w:rStyle w:val="ssleftalign"/>
          <w:sz w:val="24"/>
          <w:szCs w:val="24"/>
        </w:rPr>
        <w:t>Accordingly</w:t>
      </w:r>
      <w:r>
        <w:rPr>
          <w:rStyle w:val="ssleftalign"/>
          <w:sz w:val="24"/>
          <w:szCs w:val="24"/>
        </w:rPr>
        <w:t xml:space="preserve">, through counsel, </w:t>
      </w:r>
      <w:r w:rsidR="006B2BBC">
        <w:rPr>
          <w:rStyle w:val="ssleftalign"/>
          <w:sz w:val="24"/>
          <w:szCs w:val="24"/>
        </w:rPr>
        <w:t xml:space="preserve">he </w:t>
      </w:r>
      <w:r>
        <w:rPr>
          <w:rStyle w:val="ssleftalign"/>
          <w:sz w:val="24"/>
          <w:szCs w:val="24"/>
        </w:rPr>
        <w:t>moves for a hearing on the matter</w:t>
      </w:r>
      <w:r w:rsidR="007074CC">
        <w:rPr>
          <w:rStyle w:val="ssleftalign"/>
          <w:sz w:val="24"/>
          <w:szCs w:val="24"/>
        </w:rPr>
        <w:t>, for a dismissal of the charge</w:t>
      </w:r>
      <w:r>
        <w:rPr>
          <w:rStyle w:val="ssleftalign"/>
          <w:sz w:val="24"/>
          <w:szCs w:val="24"/>
        </w:rPr>
        <w:t xml:space="preserve">, and for such other relief as is just and proper. </w:t>
      </w:r>
    </w:p>
    <w:p w14:paraId="6862165D" w14:textId="77777777" w:rsidR="00073BAA" w:rsidRDefault="00073BAA">
      <w:pPr>
        <w:spacing w:line="276" w:lineRule="auto"/>
      </w:pPr>
    </w:p>
    <w:p w14:paraId="1600DD22" w14:textId="73D24DFC" w:rsidR="00073BAA" w:rsidRDefault="004D37BF">
      <w:pPr>
        <w:spacing w:line="276" w:lineRule="auto"/>
      </w:pPr>
      <w:r w:rsidRPr="00CD2D91">
        <w:lastRenderedPageBreak/>
        <w:tab/>
      </w:r>
      <w:r w:rsidR="00254359" w:rsidRPr="00CD2D91">
        <w:t>R</w:t>
      </w:r>
      <w:r w:rsidR="00254359">
        <w:t xml:space="preserve">espectfully submitted, this the </w:t>
      </w:r>
      <w:r w:rsidR="00031664">
        <w:t>___</w:t>
      </w:r>
      <w:r w:rsidR="00254359">
        <w:t xml:space="preserve"> day of </w:t>
      </w:r>
      <w:proofErr w:type="gramStart"/>
      <w:r w:rsidR="007C6623">
        <w:t>Ju</w:t>
      </w:r>
      <w:r w:rsidR="00645DE6">
        <w:t>ly</w:t>
      </w:r>
      <w:r w:rsidR="00254359">
        <w:t>,</w:t>
      </w:r>
      <w:proofErr w:type="gramEnd"/>
      <w:r w:rsidR="006B2BBC">
        <w:t xml:space="preserve"> </w:t>
      </w:r>
      <w:r w:rsidR="00254359">
        <w:t>201</w:t>
      </w:r>
      <w:r w:rsidR="00645DE6">
        <w:t>9</w:t>
      </w:r>
      <w:r w:rsidR="00254359" w:rsidRPr="00CD2D91">
        <w:t>.</w:t>
      </w:r>
    </w:p>
    <w:p w14:paraId="3A3011AE" w14:textId="77777777" w:rsidR="00254359" w:rsidRPr="00CD2D91" w:rsidRDefault="00254359" w:rsidP="00B647C5">
      <w:pPr>
        <w:spacing w:line="23" w:lineRule="atLeast"/>
      </w:pPr>
    </w:p>
    <w:p w14:paraId="6123201E" w14:textId="77777777" w:rsidR="00254359" w:rsidRPr="00CD2D91" w:rsidRDefault="00254359" w:rsidP="00B647C5">
      <w:pPr>
        <w:spacing w:line="23" w:lineRule="atLeast"/>
      </w:pPr>
      <w:r w:rsidRPr="00CD2D91">
        <w:tab/>
      </w:r>
      <w:r w:rsidRPr="00CD2D91">
        <w:tab/>
      </w:r>
      <w:r w:rsidRPr="00CD2D91">
        <w:tab/>
      </w:r>
      <w:r w:rsidRPr="00CD2D91">
        <w:tab/>
      </w:r>
      <w:r w:rsidRPr="00CD2D91">
        <w:tab/>
      </w:r>
      <w:r w:rsidRPr="00CD2D91">
        <w:tab/>
      </w:r>
    </w:p>
    <w:p w14:paraId="1B940BEC" w14:textId="77777777" w:rsidR="00254359" w:rsidRPr="00CD2D91" w:rsidRDefault="00254359" w:rsidP="00B647C5">
      <w:pPr>
        <w:spacing w:line="23" w:lineRule="atLeast"/>
        <w:ind w:firstLine="4320"/>
      </w:pPr>
      <w:r w:rsidRPr="00CD2D91">
        <w:t>________________________________</w:t>
      </w:r>
    </w:p>
    <w:p w14:paraId="199A1B3A" w14:textId="50DDB474" w:rsidR="00254359" w:rsidRPr="00CD2D91" w:rsidRDefault="00BB5B32" w:rsidP="00B647C5">
      <w:pPr>
        <w:spacing w:line="23" w:lineRule="atLeast"/>
        <w:ind w:firstLine="4320"/>
      </w:pPr>
      <w:r>
        <w:t>ATTORNEY</w:t>
      </w:r>
    </w:p>
    <w:p w14:paraId="267BF334" w14:textId="137041BF" w:rsidR="00272BD6" w:rsidRPr="00CD2D91" w:rsidRDefault="007C6623" w:rsidP="00B647C5">
      <w:pPr>
        <w:spacing w:line="23" w:lineRule="atLeast"/>
        <w:ind w:firstLine="4320"/>
      </w:pPr>
      <w:bookmarkStart w:id="0" w:name="_GoBack"/>
      <w:bookmarkEnd w:id="0"/>
      <w:r>
        <w:t xml:space="preserve">Attorney for </w:t>
      </w:r>
      <w:r w:rsidR="00BB5B32">
        <w:t>CLIENT</w:t>
      </w:r>
    </w:p>
    <w:p w14:paraId="7C2DCA75" w14:textId="77777777" w:rsidR="00254359" w:rsidRPr="00CD2D91" w:rsidRDefault="00254359" w:rsidP="00B647C5">
      <w:pPr>
        <w:pStyle w:val="BodyText"/>
        <w:spacing w:line="23" w:lineRule="atLeast"/>
        <w:rPr>
          <w:szCs w:val="24"/>
        </w:rPr>
      </w:pPr>
      <w:r w:rsidRPr="00CD2D91">
        <w:rPr>
          <w:szCs w:val="24"/>
        </w:rPr>
        <w:tab/>
      </w:r>
      <w:r w:rsidRPr="00CD2D91">
        <w:rPr>
          <w:szCs w:val="24"/>
        </w:rPr>
        <w:tab/>
      </w:r>
      <w:r w:rsidRPr="00CD2D91">
        <w:rPr>
          <w:szCs w:val="24"/>
        </w:rPr>
        <w:tab/>
      </w:r>
      <w:r w:rsidRPr="00CD2D91">
        <w:rPr>
          <w:szCs w:val="24"/>
        </w:rPr>
        <w:tab/>
      </w:r>
      <w:r w:rsidRPr="00CD2D91">
        <w:rPr>
          <w:szCs w:val="24"/>
        </w:rPr>
        <w:tab/>
      </w:r>
      <w:r w:rsidRPr="00CD2D91">
        <w:rPr>
          <w:szCs w:val="24"/>
        </w:rPr>
        <w:tab/>
      </w:r>
    </w:p>
    <w:p w14:paraId="03BCF008" w14:textId="77777777" w:rsidR="00272BD6" w:rsidRDefault="00272BD6" w:rsidP="00B647C5">
      <w:pPr>
        <w:spacing w:line="23" w:lineRule="atLeast"/>
      </w:pPr>
    </w:p>
    <w:p w14:paraId="02510A66" w14:textId="77777777" w:rsidR="00272BD6" w:rsidRDefault="00272BD6" w:rsidP="00B647C5">
      <w:pPr>
        <w:spacing w:line="23" w:lineRule="atLeast"/>
      </w:pPr>
    </w:p>
    <w:p w14:paraId="7A0893F6" w14:textId="77777777" w:rsidR="00254359" w:rsidRPr="00CD2D91" w:rsidRDefault="00254359" w:rsidP="00B647C5">
      <w:pPr>
        <w:spacing w:line="23" w:lineRule="atLeast"/>
        <w:jc w:val="center"/>
      </w:pPr>
      <w:r w:rsidRPr="00CD2D91">
        <w:rPr>
          <w:u w:val="single"/>
        </w:rPr>
        <w:t>CERTIFICATE OF SERVICE</w:t>
      </w:r>
    </w:p>
    <w:p w14:paraId="36214B51" w14:textId="77777777" w:rsidR="00254359" w:rsidRPr="00CD2D91" w:rsidRDefault="00254359" w:rsidP="00B647C5">
      <w:pPr>
        <w:spacing w:line="23" w:lineRule="atLeast"/>
      </w:pPr>
    </w:p>
    <w:p w14:paraId="36533213" w14:textId="77777777" w:rsidR="00254359" w:rsidRPr="00CD2D91" w:rsidRDefault="00254359" w:rsidP="00B647C5">
      <w:pPr>
        <w:spacing w:line="23" w:lineRule="atLeast"/>
      </w:pPr>
    </w:p>
    <w:p w14:paraId="30B4DFF7" w14:textId="124583FD" w:rsidR="00254359" w:rsidRDefault="00254359" w:rsidP="00B647C5">
      <w:pPr>
        <w:pStyle w:val="BodyText"/>
        <w:spacing w:line="23" w:lineRule="atLeast"/>
        <w:rPr>
          <w:szCs w:val="24"/>
        </w:rPr>
      </w:pPr>
      <w:r w:rsidRPr="00CD2D91">
        <w:rPr>
          <w:szCs w:val="24"/>
        </w:rPr>
        <w:tab/>
      </w:r>
      <w:r w:rsidR="00031664">
        <w:rPr>
          <w:szCs w:val="24"/>
        </w:rPr>
        <w:t>I</w:t>
      </w:r>
      <w:r w:rsidRPr="00CD2D91">
        <w:rPr>
          <w:szCs w:val="24"/>
        </w:rPr>
        <w:t xml:space="preserve"> hereby certify that </w:t>
      </w:r>
      <w:r w:rsidR="00031664">
        <w:rPr>
          <w:szCs w:val="24"/>
        </w:rPr>
        <w:t>I</w:t>
      </w:r>
      <w:r w:rsidRPr="00CD2D91">
        <w:rPr>
          <w:szCs w:val="24"/>
        </w:rPr>
        <w:t xml:space="preserve"> have served a copy of the foregoing Motion on the Assistant District Attorney, </w:t>
      </w:r>
      <w:r w:rsidR="00BB5B32">
        <w:rPr>
          <w:szCs w:val="24"/>
        </w:rPr>
        <w:t xml:space="preserve">XXXXX </w:t>
      </w:r>
      <w:r w:rsidRPr="00CD2D91">
        <w:rPr>
          <w:szCs w:val="24"/>
        </w:rPr>
        <w:t xml:space="preserve">Judicial District, by </w:t>
      </w:r>
      <w:r w:rsidR="009D63AF">
        <w:rPr>
          <w:szCs w:val="24"/>
        </w:rPr>
        <w:t>inter-office courier</w:t>
      </w:r>
      <w:r w:rsidRPr="00CD2D91">
        <w:rPr>
          <w:szCs w:val="24"/>
        </w:rPr>
        <w:t>, this the</w:t>
      </w:r>
      <w:r w:rsidR="00031664">
        <w:rPr>
          <w:szCs w:val="24"/>
        </w:rPr>
        <w:t>___</w:t>
      </w:r>
      <w:r>
        <w:rPr>
          <w:szCs w:val="24"/>
        </w:rPr>
        <w:t xml:space="preserve"> day of </w:t>
      </w:r>
      <w:proofErr w:type="gramStart"/>
      <w:r w:rsidR="00991C97">
        <w:rPr>
          <w:szCs w:val="24"/>
        </w:rPr>
        <w:t>Ju</w:t>
      </w:r>
      <w:r w:rsidR="00645DE6">
        <w:rPr>
          <w:szCs w:val="24"/>
        </w:rPr>
        <w:t>ly</w:t>
      </w:r>
      <w:r>
        <w:rPr>
          <w:szCs w:val="24"/>
        </w:rPr>
        <w:t>,</w:t>
      </w:r>
      <w:proofErr w:type="gramEnd"/>
      <w:r>
        <w:rPr>
          <w:szCs w:val="24"/>
        </w:rPr>
        <w:t xml:space="preserve"> 201</w:t>
      </w:r>
      <w:r w:rsidR="00645DE6">
        <w:rPr>
          <w:szCs w:val="24"/>
        </w:rPr>
        <w:t>9</w:t>
      </w:r>
      <w:r>
        <w:rPr>
          <w:szCs w:val="24"/>
        </w:rPr>
        <w:t xml:space="preserve">. </w:t>
      </w:r>
    </w:p>
    <w:p w14:paraId="2600D123" w14:textId="77777777" w:rsidR="00991C97" w:rsidRDefault="00991C97" w:rsidP="00B647C5">
      <w:pPr>
        <w:pStyle w:val="BodyText"/>
        <w:spacing w:line="23" w:lineRule="atLeast"/>
        <w:rPr>
          <w:szCs w:val="24"/>
        </w:rPr>
      </w:pPr>
    </w:p>
    <w:p w14:paraId="0863ED5B" w14:textId="77777777" w:rsidR="00991C97" w:rsidRPr="00CD2D91" w:rsidRDefault="00991C97" w:rsidP="00B647C5">
      <w:pPr>
        <w:pStyle w:val="BodyText"/>
        <w:spacing w:line="23" w:lineRule="atLeast"/>
        <w:rPr>
          <w:szCs w:val="24"/>
        </w:rPr>
      </w:pPr>
    </w:p>
    <w:p w14:paraId="7C957407" w14:textId="77777777" w:rsidR="00254359" w:rsidRPr="00CD2D91" w:rsidRDefault="00254359" w:rsidP="00B647C5">
      <w:pPr>
        <w:spacing w:line="23" w:lineRule="atLeast"/>
      </w:pPr>
      <w:r w:rsidRPr="00CD2D91">
        <w:tab/>
      </w:r>
      <w:r w:rsidRPr="00CD2D91">
        <w:tab/>
      </w:r>
      <w:r w:rsidRPr="00CD2D91">
        <w:tab/>
      </w:r>
      <w:r w:rsidRPr="00CD2D91">
        <w:tab/>
      </w:r>
      <w:r w:rsidRPr="00CD2D91">
        <w:tab/>
      </w:r>
      <w:r w:rsidRPr="00CD2D91">
        <w:tab/>
        <w:t>____________________________</w:t>
      </w:r>
    </w:p>
    <w:p w14:paraId="084B21A2" w14:textId="64EEB642" w:rsidR="00356A92" w:rsidRDefault="00254359" w:rsidP="00BB5B32">
      <w:pPr>
        <w:spacing w:line="23" w:lineRule="atLeast"/>
      </w:pPr>
      <w:r w:rsidRPr="00CD2D91">
        <w:tab/>
      </w:r>
      <w:r w:rsidRPr="00CD2D91">
        <w:tab/>
      </w:r>
      <w:r w:rsidRPr="00CD2D91">
        <w:tab/>
      </w:r>
      <w:r w:rsidRPr="00CD2D91">
        <w:tab/>
      </w:r>
      <w:r w:rsidRPr="00CD2D91">
        <w:tab/>
      </w:r>
      <w:r w:rsidRPr="00CD2D91">
        <w:tab/>
      </w:r>
      <w:r w:rsidR="00BB5B32">
        <w:t>ATTORNEY</w:t>
      </w:r>
    </w:p>
    <w:p w14:paraId="4555F4A1" w14:textId="1D5F5119" w:rsidR="003925E7" w:rsidRDefault="00BB5B32" w:rsidP="00B647C5">
      <w:pPr>
        <w:spacing w:line="23" w:lineRule="atLeast"/>
      </w:pPr>
      <w:r>
        <w:tab/>
      </w:r>
      <w:r>
        <w:tab/>
      </w:r>
      <w:r>
        <w:tab/>
      </w:r>
      <w:r>
        <w:tab/>
      </w:r>
      <w:r>
        <w:tab/>
      </w:r>
      <w:r>
        <w:tab/>
        <w:t>Attorney for CLIENT</w:t>
      </w:r>
    </w:p>
    <w:p w14:paraId="0D96A7D9" w14:textId="41B64ECA" w:rsidR="004C4851" w:rsidRDefault="004C4851">
      <w:r>
        <w:br w:type="page"/>
      </w:r>
    </w:p>
    <w:p w14:paraId="09F97167" w14:textId="7D5AB24F" w:rsidR="003925E7" w:rsidRDefault="004C4851" w:rsidP="0046152F">
      <w:pPr>
        <w:spacing w:line="23" w:lineRule="atLeast"/>
        <w:jc w:val="center"/>
        <w:rPr>
          <w:b/>
        </w:rPr>
      </w:pPr>
      <w:r>
        <w:rPr>
          <w:b/>
        </w:rPr>
        <w:lastRenderedPageBreak/>
        <w:t xml:space="preserve">APPENDIX A: </w:t>
      </w:r>
      <w:r w:rsidR="00EA17B3">
        <w:rPr>
          <w:b/>
        </w:rPr>
        <w:t xml:space="preserve">Relevant Portions of </w:t>
      </w:r>
      <w:r w:rsidRPr="0046152F">
        <w:rPr>
          <w:b/>
        </w:rPr>
        <w:t>N</w:t>
      </w:r>
      <w:r w:rsidR="00EA17B3" w:rsidRPr="00C57D26">
        <w:rPr>
          <w:b/>
        </w:rPr>
        <w:t>Y CLS Family Ct Act § 30</w:t>
      </w:r>
      <w:r w:rsidR="00EA17B3">
        <w:rPr>
          <w:b/>
        </w:rPr>
        <w:t>1</w:t>
      </w:r>
      <w:r w:rsidRPr="0046152F">
        <w:rPr>
          <w:b/>
        </w:rPr>
        <w:t>.</w:t>
      </w:r>
      <w:r w:rsidR="00EA17B3">
        <w:rPr>
          <w:b/>
        </w:rPr>
        <w:t>2</w:t>
      </w:r>
      <w:r w:rsidRPr="0046152F">
        <w:rPr>
          <w:b/>
        </w:rPr>
        <w:t xml:space="preserve"> </w:t>
      </w:r>
      <w:r w:rsidRPr="0046152F">
        <w:rPr>
          <w:b/>
          <w:i/>
        </w:rPr>
        <w:t>et seq.</w:t>
      </w:r>
    </w:p>
    <w:p w14:paraId="6CBC097D" w14:textId="77777777" w:rsidR="004C4851" w:rsidRDefault="004C4851" w:rsidP="0046152F">
      <w:pPr>
        <w:spacing w:line="23" w:lineRule="atLeast"/>
        <w:jc w:val="center"/>
        <w:rPr>
          <w:b/>
        </w:rPr>
      </w:pPr>
    </w:p>
    <w:p w14:paraId="26AAC131" w14:textId="77777777" w:rsidR="00EA17B3" w:rsidRDefault="00EA17B3" w:rsidP="00EA17B3">
      <w:pPr>
        <w:pStyle w:val="Heading2"/>
        <w:rPr>
          <w:rFonts w:ascii="Times New Roman" w:hAnsi="Times New Roman" w:cs="Times New Roman"/>
          <w:b/>
          <w:color w:val="auto"/>
          <w:sz w:val="24"/>
          <w:szCs w:val="24"/>
        </w:rPr>
      </w:pPr>
      <w:r w:rsidRPr="0046152F">
        <w:rPr>
          <w:rFonts w:ascii="Times New Roman" w:hAnsi="Times New Roman" w:cs="Times New Roman"/>
          <w:b/>
          <w:color w:val="auto"/>
          <w:sz w:val="24"/>
          <w:szCs w:val="24"/>
        </w:rPr>
        <w:t>§ 301.2. Definitions [Effective October 1, 2018]</w:t>
      </w:r>
    </w:p>
    <w:p w14:paraId="58EDE2D2" w14:textId="77777777" w:rsidR="00EA17B3" w:rsidRPr="0046152F" w:rsidRDefault="00EA17B3" w:rsidP="0046152F"/>
    <w:p w14:paraId="7FC23409" w14:textId="77777777" w:rsidR="00EA17B3" w:rsidRDefault="00EA17B3" w:rsidP="00EA17B3">
      <w:pPr>
        <w:rPr>
          <w:rStyle w:val="ssparacontent"/>
        </w:rPr>
      </w:pPr>
      <w:r>
        <w:rPr>
          <w:rStyle w:val="ssparacontent"/>
        </w:rPr>
        <w:t>As used in this article, the following terms shall have the following meanings:</w:t>
      </w:r>
    </w:p>
    <w:p w14:paraId="392387DA" w14:textId="77777777" w:rsidR="00EA17B3" w:rsidRDefault="00EA17B3" w:rsidP="00EA17B3">
      <w:pPr>
        <w:rPr>
          <w:rStyle w:val="ssbf"/>
        </w:rPr>
      </w:pPr>
    </w:p>
    <w:p w14:paraId="58534929" w14:textId="0CDCDB55" w:rsidR="00EA17B3" w:rsidRDefault="00EA17B3" w:rsidP="00EA17B3">
      <w:r>
        <w:rPr>
          <w:rStyle w:val="ssbf"/>
        </w:rPr>
        <w:t>1.</w:t>
      </w:r>
      <w:r>
        <w:rPr>
          <w:rStyle w:val="ssparalabel"/>
        </w:rPr>
        <w:t> </w:t>
      </w:r>
      <w:r>
        <w:rPr>
          <w:rStyle w:val="ssparacontent"/>
        </w:rPr>
        <w:t>“Juvenile delinquent” means a person over seven and less than sixteen years of age, or commencing on October first, two thousand eighteen a person over seven and less than seventeen years of age, and commencing October first, two thousand nineteen a person over seven and less than eighteen years of age, who, having committed an act that would constitute a crime, or a violation, where such violation is alleged to have occurred in the same transaction or occurrence of the alleged criminal act, if committed by an adult, (a) is not criminally responsible for such conduct by reason of infancy, or (b) is the defendant in an action ordered removed from a criminal court to the family court pursuant to article seven hundred twenty-five of the criminal procedure law.</w:t>
      </w:r>
    </w:p>
    <w:p w14:paraId="0FD70B46" w14:textId="77777777" w:rsidR="00EA17B3" w:rsidRDefault="00EA17B3" w:rsidP="00EA17B3">
      <w:pPr>
        <w:rPr>
          <w:rStyle w:val="ssbf"/>
        </w:rPr>
      </w:pPr>
    </w:p>
    <w:p w14:paraId="0E2A8888" w14:textId="77777777" w:rsidR="00EA17B3" w:rsidRDefault="00EA17B3" w:rsidP="00EA17B3">
      <w:r>
        <w:rPr>
          <w:rStyle w:val="ssbf"/>
        </w:rPr>
        <w:t>2.</w:t>
      </w:r>
      <w:r>
        <w:rPr>
          <w:rStyle w:val="ssparalabel"/>
        </w:rPr>
        <w:t> </w:t>
      </w:r>
      <w:r>
        <w:rPr>
          <w:rStyle w:val="ssparacontent"/>
        </w:rPr>
        <w:t>“Respondent” means the person against whom a juvenile delinquency petition is filed pursuant to section 310.1. Provided, however, that any act of the respondent required or authorized under this article may be performed by his or her attorney unless expressly provided otherwise.</w:t>
      </w:r>
    </w:p>
    <w:p w14:paraId="47D8232B" w14:textId="77777777" w:rsidR="00EA17B3" w:rsidRDefault="00EA17B3" w:rsidP="00EA17B3">
      <w:pPr>
        <w:rPr>
          <w:rStyle w:val="ssbf"/>
        </w:rPr>
      </w:pPr>
    </w:p>
    <w:p w14:paraId="10C48CB2" w14:textId="77777777" w:rsidR="00EA17B3" w:rsidRDefault="00EA17B3" w:rsidP="00EA17B3">
      <w:r>
        <w:rPr>
          <w:rStyle w:val="ssbf"/>
        </w:rPr>
        <w:t>3.</w:t>
      </w:r>
      <w:r>
        <w:rPr>
          <w:rStyle w:val="ssparalabel"/>
        </w:rPr>
        <w:t> </w:t>
      </w:r>
      <w:r>
        <w:rPr>
          <w:rStyle w:val="ssparacontent"/>
        </w:rPr>
        <w:t>“Detention” means the temporary care and maintenance of children away from their own homes, as defined in section five hundred two of the executive law. Detention of a person alleged to be or adjudicated as a juvenile delinquent shall be authorized only in a facility certified by the division for youth as a detention facility pursuant to section five hundred three of the executive law.</w:t>
      </w:r>
    </w:p>
    <w:p w14:paraId="49C9FEF0" w14:textId="77777777" w:rsidR="00EA17B3" w:rsidRDefault="00EA17B3" w:rsidP="00EA17B3">
      <w:pPr>
        <w:rPr>
          <w:rStyle w:val="ssbf"/>
        </w:rPr>
      </w:pPr>
    </w:p>
    <w:p w14:paraId="5F56407C" w14:textId="77777777" w:rsidR="00EA17B3" w:rsidRDefault="00EA17B3" w:rsidP="00EA17B3">
      <w:r>
        <w:rPr>
          <w:rStyle w:val="ssbf"/>
        </w:rPr>
        <w:t>4.</w:t>
      </w:r>
      <w:r>
        <w:rPr>
          <w:rStyle w:val="ssparalabel"/>
        </w:rPr>
        <w:t> </w:t>
      </w:r>
      <w:r>
        <w:rPr>
          <w:rStyle w:val="ssparacontent"/>
        </w:rPr>
        <w:t>“Secure detention facility” means a facility characterized by physically restricting construction, hardware and procedures.</w:t>
      </w:r>
    </w:p>
    <w:p w14:paraId="6546209E" w14:textId="77777777" w:rsidR="00EA17B3" w:rsidRDefault="00EA17B3" w:rsidP="00EA17B3">
      <w:pPr>
        <w:rPr>
          <w:rStyle w:val="ssbf"/>
        </w:rPr>
      </w:pPr>
    </w:p>
    <w:p w14:paraId="0AF4BB41" w14:textId="77777777" w:rsidR="00EA17B3" w:rsidRDefault="00EA17B3" w:rsidP="00EA17B3">
      <w:r>
        <w:rPr>
          <w:rStyle w:val="ssbf"/>
        </w:rPr>
        <w:t>5.</w:t>
      </w:r>
      <w:r>
        <w:rPr>
          <w:rStyle w:val="ssparalabel"/>
        </w:rPr>
        <w:t> </w:t>
      </w:r>
      <w:r>
        <w:rPr>
          <w:rStyle w:val="ssparacontent"/>
        </w:rPr>
        <w:t>“Non-secure detention facility” means a facility characterized by the absence of physically restricting construction, hardware and procedures.</w:t>
      </w:r>
    </w:p>
    <w:p w14:paraId="4E5E28A9" w14:textId="77777777" w:rsidR="00EA17B3" w:rsidRDefault="00EA17B3" w:rsidP="00EA17B3">
      <w:pPr>
        <w:rPr>
          <w:rStyle w:val="ssbf"/>
        </w:rPr>
      </w:pPr>
    </w:p>
    <w:p w14:paraId="69C056CC" w14:textId="77777777" w:rsidR="00EA17B3" w:rsidRDefault="00EA17B3" w:rsidP="00EA17B3">
      <w:r>
        <w:rPr>
          <w:rStyle w:val="ssbf"/>
        </w:rPr>
        <w:t>6.</w:t>
      </w:r>
      <w:r>
        <w:rPr>
          <w:rStyle w:val="ssparalabel"/>
        </w:rPr>
        <w:t> </w:t>
      </w:r>
      <w:r>
        <w:rPr>
          <w:rStyle w:val="ssparacontent"/>
        </w:rPr>
        <w:t>“Fact-finding hearing” means a hearing to determine whether the respondent or respondents committed the crime or crimes alleged in the petition or petitions.</w:t>
      </w:r>
    </w:p>
    <w:p w14:paraId="0D4ABE61" w14:textId="77777777" w:rsidR="00EA17B3" w:rsidRDefault="00EA17B3" w:rsidP="00EA17B3">
      <w:pPr>
        <w:rPr>
          <w:rStyle w:val="ssbf"/>
        </w:rPr>
      </w:pPr>
    </w:p>
    <w:p w14:paraId="12CEB411" w14:textId="77777777" w:rsidR="00EA17B3" w:rsidRDefault="00EA17B3" w:rsidP="00EA17B3">
      <w:r>
        <w:rPr>
          <w:rStyle w:val="ssbf"/>
        </w:rPr>
        <w:t>7.</w:t>
      </w:r>
      <w:r>
        <w:rPr>
          <w:rStyle w:val="ssparalabel"/>
        </w:rPr>
        <w:t> </w:t>
      </w:r>
      <w:r>
        <w:rPr>
          <w:rStyle w:val="ssparacontent"/>
        </w:rPr>
        <w:t>“Dispositional hearing” means a hearing to determine whether the respondent requires supervision, treatment or confinement.</w:t>
      </w:r>
    </w:p>
    <w:p w14:paraId="077640B2" w14:textId="77777777" w:rsidR="00EA17B3" w:rsidRDefault="00EA17B3" w:rsidP="00EA17B3">
      <w:pPr>
        <w:rPr>
          <w:rStyle w:val="ssbf"/>
        </w:rPr>
      </w:pPr>
    </w:p>
    <w:p w14:paraId="1EDEAF7E" w14:textId="1E77AA4B" w:rsidR="00EA17B3" w:rsidRDefault="00EA17B3" w:rsidP="00EA17B3">
      <w:r>
        <w:rPr>
          <w:rStyle w:val="ssbf"/>
        </w:rPr>
        <w:t>8.</w:t>
      </w:r>
      <w:r>
        <w:rPr>
          <w:rStyle w:val="ssparalabel"/>
        </w:rPr>
        <w:t> </w:t>
      </w:r>
      <w:r>
        <w:rPr>
          <w:rStyle w:val="ssparacontent"/>
        </w:rPr>
        <w:t xml:space="preserve">“Designated felony act” means an act which, if done by an adult, would be a crime: (i) defined in sections 125.27 (murder in the first degree); 125.25 (murder in the second degree); 135.25 (kidnapping in the first degree); or 150.20 (arson in the first degree) of the penal law committed by a person thirteen, fourteen, fifteen, or sixteen, or commencing October first, two thousand nineteen, seventeen years of age; or such conduct committed as a sexually motivated felony, where authorized pursuant to </w:t>
      </w:r>
      <w:r w:rsidR="00C57D26" w:rsidRPr="0046152F">
        <w:rPr>
          <w:rStyle w:val="ssparacontent"/>
        </w:rPr>
        <w:t>section 130.91 of the penal law</w:t>
      </w:r>
      <w:r>
        <w:rPr>
          <w:rStyle w:val="ssparacontent"/>
        </w:rPr>
        <w:t xml:space="preserve">; (ii) defined in sections 120.10 (assault in the first degree); 125.20 (manslaughter in the first degree); 130.35 (rape in the first degree); 130.50 (criminal sexual act in the first degree); 130.70 (aggravated sexual abuse in the </w:t>
      </w:r>
      <w:r>
        <w:rPr>
          <w:rStyle w:val="ssparacontent"/>
        </w:rPr>
        <w:lastRenderedPageBreak/>
        <w:t xml:space="preserve">first degree); 135.20 (kidnapping in the second degree) but only where the abduction involved the use or threat of use of deadly physical force; 150.15 (arson in the second degree) or 160.15 (robbery in the first degree) of the penal law committed by a person thirteen, fourteen, fifteen, or sixteen, or, commencing October first, two thousand nineteen, seventeen years of age; or such conduct committed as a sexually motivated felony, where authorized pursuant to </w:t>
      </w:r>
      <w:r w:rsidR="00C57D26" w:rsidRPr="0046152F">
        <w:rPr>
          <w:rStyle w:val="ssparacontent"/>
        </w:rPr>
        <w:t>section 130.91 of the penal law</w:t>
      </w:r>
      <w:r>
        <w:rPr>
          <w:rStyle w:val="ssparacontent"/>
        </w:rPr>
        <w:t xml:space="preserve">; (iii) defined in the penal law as an attempt to commit murder in the first or second degree or kidnapping in the first degree committed by a person thirteen, fourteen, fifteen, or sixteen, or commencing October first, two thousand nineteen, seventeen years of age; or such conduct committed as a sexually motivated felony, where authorized pursuant to </w:t>
      </w:r>
      <w:r w:rsidR="00C57D26" w:rsidRPr="0046152F">
        <w:rPr>
          <w:rStyle w:val="ssparacontent"/>
        </w:rPr>
        <w:t>section 130.91 of the penal law</w:t>
      </w:r>
      <w:r>
        <w:rPr>
          <w:rStyle w:val="ssparacontent"/>
        </w:rPr>
        <w:t xml:space="preserve">; (iv) defined in section 140.30 (burglary in the first degree); subdivision one of section 140.25 (burglary in the second degree); subdivision two of section 160.10 (robbery in the second degree) of the penal law; or </w:t>
      </w:r>
      <w:r w:rsidR="00C57D26" w:rsidRPr="0046152F">
        <w:rPr>
          <w:rStyle w:val="ssparacontent"/>
        </w:rPr>
        <w:t>section 265.03 of the penal law</w:t>
      </w:r>
      <w:r>
        <w:rPr>
          <w:rStyle w:val="ssparacontent"/>
        </w:rPr>
        <w:t xml:space="preserve">, where such machine gun or such firearm is possessed on school grounds, as that phrase is defined in subdivision fourteen of </w:t>
      </w:r>
      <w:r w:rsidR="00C57D26" w:rsidRPr="0046152F">
        <w:rPr>
          <w:rStyle w:val="ssparacontent"/>
        </w:rPr>
        <w:t>section 220.00 of the penal law</w:t>
      </w:r>
      <w:r>
        <w:rPr>
          <w:rStyle w:val="ssparacontent"/>
        </w:rPr>
        <w:t xml:space="preserve"> committed by a person fourteen or fifteen years of age; or such conduct committed as a sexually motivated felony, where authorized pursuant to </w:t>
      </w:r>
      <w:r w:rsidR="00C57D26" w:rsidRPr="0046152F">
        <w:rPr>
          <w:rStyle w:val="ssparacontent"/>
        </w:rPr>
        <w:t>section 130.91 of the penal law</w:t>
      </w:r>
      <w:r>
        <w:rPr>
          <w:rStyle w:val="ssparacontent"/>
        </w:rPr>
        <w:t>; (v) defined in section 120.05 (assault in the second degree) or 160.10 (robbery in the second degree) of the penal law committed by a person fourteen, fifteen, or sixteen or, commencing October first, two thousand nineteen, seventeen years of age but only where there has been a prior finding by a court that such person has previously committed an act which, if committed by an adult, would be the crime of assault in the second degree, robbery in the second degree or any designated felony act specified in paragraph (i), (ii), or (iii) of this subdivision regardless of the age of such person at the time of the commission of the prior act; (vi) other than a misdemeanor committed by a person at least seven but less than seventeen years of age, and commencing October first, two thousand nineteen, a person at least seven but less than eighteen years of age, but only where there has been two prior findings by the court that such person has committed a prior felony.</w:t>
      </w:r>
    </w:p>
    <w:p w14:paraId="5E9C9BA4" w14:textId="77777777" w:rsidR="00EA17B3" w:rsidRDefault="00EA17B3" w:rsidP="00EA17B3">
      <w:pPr>
        <w:rPr>
          <w:rStyle w:val="ssbf"/>
        </w:rPr>
      </w:pPr>
    </w:p>
    <w:p w14:paraId="5FFF3AE8" w14:textId="77777777" w:rsidR="00EA17B3" w:rsidRDefault="00EA17B3" w:rsidP="00EA17B3">
      <w:r>
        <w:rPr>
          <w:rStyle w:val="ssbf"/>
        </w:rPr>
        <w:t>9.</w:t>
      </w:r>
      <w:r>
        <w:rPr>
          <w:rStyle w:val="ssparalabel"/>
        </w:rPr>
        <w:t> </w:t>
      </w:r>
      <w:r>
        <w:rPr>
          <w:rStyle w:val="ssparacontent"/>
        </w:rPr>
        <w:t>“Designated class A felony act” means a designated felony act that would constitute a class A felony if committed by an adult.</w:t>
      </w:r>
    </w:p>
    <w:p w14:paraId="390BDE83" w14:textId="77777777" w:rsidR="00EA17B3" w:rsidRDefault="00EA17B3" w:rsidP="00EA17B3">
      <w:pPr>
        <w:rPr>
          <w:rStyle w:val="ssbf"/>
        </w:rPr>
      </w:pPr>
    </w:p>
    <w:p w14:paraId="5D83B0B8" w14:textId="77777777" w:rsidR="00EA17B3" w:rsidRDefault="00EA17B3" w:rsidP="00EA17B3">
      <w:r>
        <w:rPr>
          <w:rStyle w:val="ssbf"/>
        </w:rPr>
        <w:t>10.</w:t>
      </w:r>
      <w:r>
        <w:rPr>
          <w:rStyle w:val="ssparalabel"/>
        </w:rPr>
        <w:t> </w:t>
      </w:r>
      <w:r>
        <w:rPr>
          <w:rStyle w:val="ssparacontent"/>
        </w:rPr>
        <w:t>“Secure facility” means a residential facility in which the respondent may be placed under this article, which is characterized by physically restricting construction, hardware and procedures, and is designated as a secure facility by the division for youth.</w:t>
      </w:r>
    </w:p>
    <w:p w14:paraId="17640BB4" w14:textId="77777777" w:rsidR="00EA17B3" w:rsidRDefault="00EA17B3" w:rsidP="00EA17B3">
      <w:pPr>
        <w:rPr>
          <w:rStyle w:val="ssbf"/>
        </w:rPr>
      </w:pPr>
    </w:p>
    <w:p w14:paraId="201F65E7" w14:textId="77777777" w:rsidR="00EA17B3" w:rsidRDefault="00EA17B3" w:rsidP="00EA17B3">
      <w:r>
        <w:rPr>
          <w:rStyle w:val="ssbf"/>
        </w:rPr>
        <w:t>11.</w:t>
      </w:r>
      <w:r>
        <w:rPr>
          <w:rStyle w:val="ssparalabel"/>
        </w:rPr>
        <w:t> </w:t>
      </w:r>
      <w:r>
        <w:rPr>
          <w:rStyle w:val="ssparacontent"/>
        </w:rPr>
        <w:t>“Restrictive placement” means a placement pursuant to section 353.5.</w:t>
      </w:r>
    </w:p>
    <w:p w14:paraId="7421B022" w14:textId="77777777" w:rsidR="00EA17B3" w:rsidRDefault="00EA17B3" w:rsidP="00EA17B3">
      <w:pPr>
        <w:rPr>
          <w:rStyle w:val="ssbf"/>
        </w:rPr>
      </w:pPr>
    </w:p>
    <w:p w14:paraId="6F950756" w14:textId="77777777" w:rsidR="00EA17B3" w:rsidRDefault="00EA17B3" w:rsidP="00EA17B3">
      <w:r>
        <w:rPr>
          <w:rStyle w:val="ssbf"/>
        </w:rPr>
        <w:t>12.</w:t>
      </w:r>
      <w:r>
        <w:rPr>
          <w:rStyle w:val="ssparalabel"/>
        </w:rPr>
        <w:t> </w:t>
      </w:r>
      <w:r>
        <w:rPr>
          <w:rStyle w:val="ssparacontent"/>
        </w:rPr>
        <w:t>“Presentment agency” means the agency or authority which pursuant to section two hundred fifty-four or two hundred fifty-four-a is responsible for presenting a juvenile delinquency petition.</w:t>
      </w:r>
    </w:p>
    <w:p w14:paraId="4B6F0DF3" w14:textId="77777777" w:rsidR="00EA17B3" w:rsidRDefault="00EA17B3" w:rsidP="00EA17B3">
      <w:pPr>
        <w:rPr>
          <w:rStyle w:val="ssbf"/>
        </w:rPr>
      </w:pPr>
    </w:p>
    <w:p w14:paraId="434765D4" w14:textId="3DCB4D54" w:rsidR="00EA17B3" w:rsidRDefault="00EA17B3" w:rsidP="00EA17B3">
      <w:r>
        <w:rPr>
          <w:rStyle w:val="ssbf"/>
        </w:rPr>
        <w:t>13.</w:t>
      </w:r>
      <w:r>
        <w:rPr>
          <w:rStyle w:val="ssparalabel"/>
        </w:rPr>
        <w:t> </w:t>
      </w:r>
      <w:r>
        <w:rPr>
          <w:rStyle w:val="ssparacontent"/>
        </w:rPr>
        <w:t xml:space="preserve">“Incapacitated person” means a respondent who, as a result of mental illness, or intellectual or developmental disability as defined in subdivisions twenty and twenty-two of </w:t>
      </w:r>
      <w:r w:rsidR="00C57D26" w:rsidRPr="0046152F">
        <w:rPr>
          <w:rStyle w:val="ssparacontent"/>
        </w:rPr>
        <w:t>section 1.03 of the mental hygiene law, l</w:t>
      </w:r>
      <w:r>
        <w:rPr>
          <w:rStyle w:val="ssparacontent"/>
        </w:rPr>
        <w:t>acks capacity to understand the proceedings against him or her or to assist in his or her own defense.</w:t>
      </w:r>
    </w:p>
    <w:p w14:paraId="7E76F805" w14:textId="77777777" w:rsidR="00EA17B3" w:rsidRDefault="00EA17B3" w:rsidP="00EA17B3">
      <w:pPr>
        <w:rPr>
          <w:rStyle w:val="ssbf"/>
        </w:rPr>
      </w:pPr>
    </w:p>
    <w:p w14:paraId="251A4BF6" w14:textId="77777777" w:rsidR="00EA17B3" w:rsidRDefault="00EA17B3" w:rsidP="00EA17B3">
      <w:r>
        <w:rPr>
          <w:rStyle w:val="ssbf"/>
        </w:rPr>
        <w:lastRenderedPageBreak/>
        <w:t>14.</w:t>
      </w:r>
      <w:r>
        <w:rPr>
          <w:rStyle w:val="ssparalabel"/>
        </w:rPr>
        <w:t> </w:t>
      </w:r>
      <w:r>
        <w:rPr>
          <w:rStyle w:val="ssparacontent"/>
        </w:rPr>
        <w:t>Any reference in this article to the commission of a crime includes any act which, if done by an adult, would constitute a crime.</w:t>
      </w:r>
    </w:p>
    <w:p w14:paraId="3515C25E" w14:textId="77777777" w:rsidR="00EA17B3" w:rsidRDefault="00EA17B3" w:rsidP="00EA17B3">
      <w:pPr>
        <w:rPr>
          <w:rStyle w:val="ssbf"/>
        </w:rPr>
      </w:pPr>
    </w:p>
    <w:p w14:paraId="7CE0DCF4" w14:textId="77777777" w:rsidR="00EA17B3" w:rsidRDefault="00EA17B3" w:rsidP="00EA17B3">
      <w:r>
        <w:rPr>
          <w:rStyle w:val="ssbf"/>
        </w:rPr>
        <w:t>15.</w:t>
      </w:r>
      <w:r>
        <w:rPr>
          <w:rStyle w:val="ssparalabel"/>
        </w:rPr>
        <w:t> </w:t>
      </w:r>
      <w:r>
        <w:rPr>
          <w:rStyle w:val="ssparacontent"/>
        </w:rPr>
        <w:t xml:space="preserve">“Aggravated circumstances” shall have the same meaning as the definition of such term in subdivision (j) of section one thousand twelve of this </w:t>
      </w:r>
      <w:proofErr w:type="gramStart"/>
      <w:r>
        <w:rPr>
          <w:rStyle w:val="ssparacontent"/>
        </w:rPr>
        <w:t>act</w:t>
      </w:r>
      <w:proofErr w:type="gramEnd"/>
      <w:r>
        <w:rPr>
          <w:rStyle w:val="ssparacontent"/>
        </w:rPr>
        <w:t>.</w:t>
      </w:r>
    </w:p>
    <w:p w14:paraId="1ECE4F04" w14:textId="77777777" w:rsidR="00EA17B3" w:rsidRDefault="00EA17B3" w:rsidP="00EA17B3">
      <w:pPr>
        <w:rPr>
          <w:rStyle w:val="ssbf"/>
        </w:rPr>
      </w:pPr>
    </w:p>
    <w:p w14:paraId="59896C82" w14:textId="77777777" w:rsidR="00EA17B3" w:rsidRDefault="00EA17B3" w:rsidP="00EA17B3">
      <w:r>
        <w:rPr>
          <w:rStyle w:val="ssbf"/>
        </w:rPr>
        <w:t>16.</w:t>
      </w:r>
      <w:r>
        <w:rPr>
          <w:rStyle w:val="ssparalabel"/>
        </w:rPr>
        <w:t> </w:t>
      </w:r>
      <w:r>
        <w:rPr>
          <w:rStyle w:val="ssparacontent"/>
        </w:rPr>
        <w:t>“Permanency hearing” means an initial hearing or subsequent hearing held in accordance with the provisions of this article for the purpose of reviewing the foster care status of the respondent and the appropriateness of the permanency plan developed by the commissioner of social services or the office of children and family services.</w:t>
      </w:r>
    </w:p>
    <w:p w14:paraId="6BBA0F23" w14:textId="77777777" w:rsidR="00EA17B3" w:rsidRDefault="00EA17B3" w:rsidP="00EA17B3">
      <w:pPr>
        <w:rPr>
          <w:rStyle w:val="ssbf"/>
        </w:rPr>
      </w:pPr>
    </w:p>
    <w:p w14:paraId="0814986A" w14:textId="77777777" w:rsidR="00EA17B3" w:rsidRDefault="00EA17B3" w:rsidP="00EA17B3">
      <w:r>
        <w:rPr>
          <w:rStyle w:val="ssbf"/>
        </w:rPr>
        <w:t>17.</w:t>
      </w:r>
      <w:r>
        <w:rPr>
          <w:rStyle w:val="ssparalabel"/>
        </w:rPr>
        <w:t> </w:t>
      </w:r>
      <w:r>
        <w:rPr>
          <w:rStyle w:val="ssparacontent"/>
        </w:rPr>
        <w:t>“Designated educational official” shall mean (a) an employee or representative of a school district who is designated by the school district or (b) an employee or representative of a charter school or private elementary or secondary school who is designated by such school to receive records pursuant to this article and to coordinate the student’s participation in programs which may exist in the school district or community, including: non-violent conflict resolution programs, peer mediation programs and youth courts, extended day programs and other school violence prevention and intervention programs which may exist in the school district or community. Such notification shall be kept separate and apart from such student’s school records and shall be accessible only by the designated educational official. Such notification shall not be part of such student’s permanent school record and shall not be appended to or included in any documentation regarding such student and shall be destroyed at such time as such student is no longer enrolled in the school district. At no time shall such notification be used for any purpose other than those specified in this subdivision.</w:t>
      </w:r>
    </w:p>
    <w:p w14:paraId="7D671B49" w14:textId="77777777" w:rsidR="004C4851" w:rsidRPr="0046152F" w:rsidRDefault="004C4851" w:rsidP="004C4851">
      <w:pPr>
        <w:spacing w:before="100" w:beforeAutospacing="1" w:after="100" w:afterAutospacing="1"/>
        <w:outlineLvl w:val="1"/>
        <w:rPr>
          <w:b/>
          <w:bCs/>
        </w:rPr>
      </w:pPr>
      <w:r w:rsidRPr="0046152F">
        <w:rPr>
          <w:b/>
          <w:bCs/>
        </w:rPr>
        <w:t>§ 302.1. Jurisdiction [Effective October 1, 2018]</w:t>
      </w:r>
    </w:p>
    <w:p w14:paraId="778EC15E" w14:textId="77777777" w:rsidR="004C4851" w:rsidRDefault="004C4851" w:rsidP="004C4851">
      <w:r w:rsidRPr="004C4851">
        <w:t>1. The family court has exclusive original jurisdiction over any proceeding to determine whether a person is a juvenile delinquent.</w:t>
      </w:r>
    </w:p>
    <w:p w14:paraId="570FC222" w14:textId="77777777" w:rsidR="004C4851" w:rsidRPr="004C4851" w:rsidRDefault="004C4851" w:rsidP="004C4851"/>
    <w:p w14:paraId="3A9D2B1C" w14:textId="77777777" w:rsidR="004C4851" w:rsidRPr="004C4851" w:rsidRDefault="004C4851" w:rsidP="004C4851">
      <w:r w:rsidRPr="004C4851">
        <w:t>2. In determining the jurisdiction of the court the age of such person at the time the delinquent act allegedly was committed is controlling.</w:t>
      </w:r>
    </w:p>
    <w:p w14:paraId="59DB175B" w14:textId="77777777" w:rsidR="004C4851" w:rsidRDefault="004C4851" w:rsidP="004C4851"/>
    <w:p w14:paraId="3A8BA3AB" w14:textId="77777777" w:rsidR="004C4851" w:rsidRPr="004C4851" w:rsidRDefault="004C4851" w:rsidP="004C4851">
      <w:r w:rsidRPr="004C4851">
        <w:t>3. Whenever a crime and a violation arise out of the same transaction or occurrence, a charge alleging both offenses shall be made returnable before the court having jurisdiction over the crime. Nothing herein provided shall be construed to prevent a court, having jurisdiction over a violation relating to a criminal act from lawfully entering an order in accordance with 345.1 of this article where such order is not based upon the count or counts of the petition alleging such criminal act.</w:t>
      </w:r>
    </w:p>
    <w:p w14:paraId="04C4E26C" w14:textId="77777777" w:rsidR="004C4851" w:rsidRDefault="004C4851" w:rsidP="004C4851">
      <w:pPr>
        <w:spacing w:line="23" w:lineRule="atLeast"/>
        <w:rPr>
          <w:b/>
        </w:rPr>
      </w:pPr>
    </w:p>
    <w:p w14:paraId="615959DB" w14:textId="0B964146" w:rsidR="00435B2A" w:rsidRDefault="00435B2A" w:rsidP="006C5244">
      <w:pPr>
        <w:rPr>
          <w:b/>
        </w:rPr>
      </w:pPr>
    </w:p>
    <w:p w14:paraId="1C19AA55" w14:textId="1FA83355" w:rsidR="006C5244" w:rsidRDefault="006C5244">
      <w:pPr>
        <w:rPr>
          <w:b/>
        </w:rPr>
      </w:pPr>
      <w:r>
        <w:rPr>
          <w:b/>
        </w:rPr>
        <w:br w:type="page"/>
      </w:r>
    </w:p>
    <w:p w14:paraId="12C5FD0D" w14:textId="597EA537" w:rsidR="006C5244" w:rsidRDefault="006C5244" w:rsidP="006C5244">
      <w:pPr>
        <w:jc w:val="center"/>
        <w:rPr>
          <w:b/>
        </w:rPr>
      </w:pPr>
      <w:r w:rsidRPr="006C5244">
        <w:rPr>
          <w:b/>
        </w:rPr>
        <w:lastRenderedPageBreak/>
        <w:t>APPENDIX B</w:t>
      </w:r>
    </w:p>
    <w:p w14:paraId="6A950BBD" w14:textId="7A64287E" w:rsidR="006C5244" w:rsidRPr="006C5244" w:rsidRDefault="006C5244" w:rsidP="006C5244">
      <w:r>
        <w:rPr>
          <w:noProof/>
        </w:rPr>
        <w:drawing>
          <wp:inline distT="0" distB="0" distL="0" distR="0" wp14:anchorId="6F725418" wp14:editId="1D520B40">
            <wp:extent cx="4780412" cy="800854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2729" cy="8012431"/>
                    </a:xfrm>
                    <a:prstGeom prst="rect">
                      <a:avLst/>
                    </a:prstGeom>
                  </pic:spPr>
                </pic:pic>
              </a:graphicData>
            </a:graphic>
          </wp:inline>
        </w:drawing>
      </w:r>
    </w:p>
    <w:sectPr w:rsidR="006C5244" w:rsidRPr="006C5244" w:rsidSect="0046152F">
      <w:footerReference w:type="default" r:id="rId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C292C" w14:textId="77777777" w:rsidR="00CC1FAE" w:rsidRDefault="00CC1FAE">
      <w:r>
        <w:separator/>
      </w:r>
    </w:p>
  </w:endnote>
  <w:endnote w:type="continuationSeparator" w:id="0">
    <w:p w14:paraId="5A309CF1" w14:textId="77777777" w:rsidR="00CC1FAE" w:rsidRDefault="00CC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C16E" w14:textId="73063D23" w:rsidR="00073BAA" w:rsidRDefault="00073BAA">
    <w:pPr>
      <w:pStyle w:val="Footer"/>
      <w:jc w:val="center"/>
    </w:pPr>
  </w:p>
  <w:p w14:paraId="04227534" w14:textId="77777777" w:rsidR="00073BAA" w:rsidRDefault="00073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F8677" w14:textId="77777777" w:rsidR="00CC1FAE" w:rsidRDefault="00CC1FAE">
      <w:r>
        <w:separator/>
      </w:r>
    </w:p>
  </w:footnote>
  <w:footnote w:type="continuationSeparator" w:id="0">
    <w:p w14:paraId="710A5888" w14:textId="77777777" w:rsidR="00CC1FAE" w:rsidRDefault="00CC1FAE">
      <w:r>
        <w:continuationSeparator/>
      </w:r>
    </w:p>
  </w:footnote>
  <w:footnote w:id="1">
    <w:p w14:paraId="790AA817" w14:textId="77777777" w:rsidR="00073BAA" w:rsidRPr="006C5244" w:rsidRDefault="00073BAA" w:rsidP="00BE48D2">
      <w:pPr>
        <w:rPr>
          <w:sz w:val="20"/>
          <w:szCs w:val="20"/>
        </w:rPr>
      </w:pPr>
      <w:r w:rsidRPr="00B647C5">
        <w:rPr>
          <w:rStyle w:val="FootnoteReference"/>
        </w:rPr>
        <w:footnoteRef/>
      </w:r>
      <w:r w:rsidRPr="00B647C5">
        <w:t xml:space="preserve"> </w:t>
      </w:r>
      <w:r w:rsidRPr="006C5244">
        <w:rPr>
          <w:sz w:val="20"/>
          <w:szCs w:val="20"/>
        </w:rPr>
        <w:t>N.C.G.S. § 7B-2203(b) states that “the court shall determine whether the protection of the public and the needs of the juvenile will be served by transfer of the case to superior court and shall consider the following factors:</w:t>
      </w:r>
    </w:p>
    <w:p w14:paraId="28DF6EDF" w14:textId="77777777" w:rsidR="00073BAA" w:rsidRPr="006C5244" w:rsidRDefault="00073BAA" w:rsidP="00BE48D2">
      <w:pPr>
        <w:rPr>
          <w:sz w:val="20"/>
          <w:szCs w:val="20"/>
        </w:rPr>
      </w:pPr>
      <w:r w:rsidRPr="006C5244">
        <w:rPr>
          <w:sz w:val="20"/>
          <w:szCs w:val="20"/>
        </w:rPr>
        <w:t>(1)  The age of the juvenile;</w:t>
      </w:r>
    </w:p>
    <w:p w14:paraId="1EAD25E0" w14:textId="77777777" w:rsidR="00073BAA" w:rsidRPr="006C5244" w:rsidRDefault="00073BAA" w:rsidP="00BE48D2">
      <w:pPr>
        <w:rPr>
          <w:sz w:val="20"/>
          <w:szCs w:val="20"/>
        </w:rPr>
      </w:pPr>
      <w:r w:rsidRPr="006C5244">
        <w:rPr>
          <w:sz w:val="20"/>
          <w:szCs w:val="20"/>
        </w:rPr>
        <w:t>(2)  The maturity of the juvenile;</w:t>
      </w:r>
    </w:p>
    <w:p w14:paraId="7392B313" w14:textId="77777777" w:rsidR="00073BAA" w:rsidRPr="006C5244" w:rsidRDefault="00073BAA" w:rsidP="00BE48D2">
      <w:pPr>
        <w:rPr>
          <w:sz w:val="20"/>
          <w:szCs w:val="20"/>
        </w:rPr>
      </w:pPr>
      <w:r w:rsidRPr="006C5244">
        <w:rPr>
          <w:sz w:val="20"/>
          <w:szCs w:val="20"/>
        </w:rPr>
        <w:t>(3)  The intellectual functioning of the juvenile;</w:t>
      </w:r>
    </w:p>
    <w:p w14:paraId="5DECE2A7" w14:textId="77777777" w:rsidR="00073BAA" w:rsidRPr="006C5244" w:rsidRDefault="00073BAA" w:rsidP="00BE48D2">
      <w:pPr>
        <w:rPr>
          <w:sz w:val="20"/>
          <w:szCs w:val="20"/>
        </w:rPr>
      </w:pPr>
      <w:r w:rsidRPr="006C5244">
        <w:rPr>
          <w:sz w:val="20"/>
          <w:szCs w:val="20"/>
        </w:rPr>
        <w:t>(4)  The prior record of the juvenile;</w:t>
      </w:r>
    </w:p>
    <w:p w14:paraId="63BFF928" w14:textId="77777777" w:rsidR="00073BAA" w:rsidRPr="006C5244" w:rsidRDefault="00073BAA" w:rsidP="00BE48D2">
      <w:pPr>
        <w:rPr>
          <w:sz w:val="20"/>
          <w:szCs w:val="20"/>
        </w:rPr>
      </w:pPr>
      <w:r w:rsidRPr="006C5244">
        <w:rPr>
          <w:sz w:val="20"/>
          <w:szCs w:val="20"/>
        </w:rPr>
        <w:t>(5)  Prior attempts to rehabilitate the juvenile;</w:t>
      </w:r>
    </w:p>
    <w:p w14:paraId="56C6613A" w14:textId="77777777" w:rsidR="00073BAA" w:rsidRPr="006C5244" w:rsidRDefault="00073BAA" w:rsidP="00BE48D2">
      <w:pPr>
        <w:rPr>
          <w:sz w:val="20"/>
          <w:szCs w:val="20"/>
        </w:rPr>
      </w:pPr>
      <w:r w:rsidRPr="006C5244">
        <w:rPr>
          <w:sz w:val="20"/>
          <w:szCs w:val="20"/>
        </w:rPr>
        <w:t>(6)  Facilities or programs available to the court prior to the expiration of the court's jurisdiction under this Subchapter and the likelihood that the juvenile would benefit from treatment or rehabilitative efforts;</w:t>
      </w:r>
    </w:p>
    <w:p w14:paraId="138CC4EA" w14:textId="77777777" w:rsidR="00073BAA" w:rsidRPr="006C5244" w:rsidRDefault="00073BAA" w:rsidP="00BE48D2">
      <w:pPr>
        <w:rPr>
          <w:sz w:val="20"/>
          <w:szCs w:val="20"/>
        </w:rPr>
      </w:pPr>
      <w:r w:rsidRPr="006C5244">
        <w:rPr>
          <w:sz w:val="20"/>
          <w:szCs w:val="20"/>
        </w:rPr>
        <w:t>(7)  Whether the alleged offense was committed in an aggressive, violent, premeditated, or willful manner; and</w:t>
      </w:r>
    </w:p>
    <w:p w14:paraId="1A6B0C7E" w14:textId="77777777" w:rsidR="00073BAA" w:rsidRPr="00B647C5" w:rsidRDefault="00073BAA" w:rsidP="00BE48D2">
      <w:r w:rsidRPr="006C5244">
        <w:rPr>
          <w:sz w:val="20"/>
          <w:szCs w:val="20"/>
        </w:rPr>
        <w:t>(8)  The seriousness of the offense and whether the protection of the public requires that the juvenile be prosecuted as an adult.”</w:t>
      </w:r>
    </w:p>
  </w:footnote>
  <w:footnote w:id="2">
    <w:p w14:paraId="661E09B7" w14:textId="684C565E" w:rsidR="006C5244" w:rsidRDefault="006C5244">
      <w:pPr>
        <w:pStyle w:val="FootnoteText"/>
      </w:pPr>
      <w:r>
        <w:rPr>
          <w:rStyle w:val="FootnoteReference"/>
        </w:rPr>
        <w:footnoteRef/>
      </w:r>
      <w:r>
        <w:t xml:space="preserve"> </w:t>
      </w:r>
      <w:r w:rsidRPr="00B647C5">
        <w:t xml:space="preserve">It is an open question whether the disjunctive “or” in the North Carolina Constitution signifies greater protections than exist in the United States Constitution for minor defendants automatically tried and sentenced as adults. </w:t>
      </w:r>
      <w:r w:rsidRPr="00B647C5">
        <w:rPr>
          <w:i/>
        </w:rPr>
        <w:t>See State v. Jefferson</w:t>
      </w:r>
      <w:r w:rsidRPr="00B647C5">
        <w:t xml:space="preserve">, 798 S.E.2d 121, 126 n.3 (N.C. Ct. App. 2017) (identifying provisions mandating automatic transfer of certain juveniles to adult court as nationally unique and noting that the defendant had not raised a challenge under the North Carolina Constitution). Although </w:t>
      </w:r>
      <w:r w:rsidR="00645DE6">
        <w:t>Halo</w:t>
      </w:r>
      <w:r w:rsidRPr="00B647C5">
        <w:t xml:space="preserve">, through counsel, asserts that the North Carolina’s “cruel or unusual” clause is broader than the federal “cruel and unusual” one, he also asserts that he is entitled to relief under the narrower “cruel and unusual” punishment formulation and will focus his arguments there.  </w:t>
      </w:r>
    </w:p>
    <w:p w14:paraId="79D7B812" w14:textId="77777777" w:rsidR="006C5244" w:rsidRDefault="006C5244">
      <w:pPr>
        <w:pStyle w:val="FootnoteText"/>
      </w:pPr>
    </w:p>
  </w:footnote>
  <w:footnote w:id="3">
    <w:p w14:paraId="43CED7F9" w14:textId="04E20690" w:rsidR="00073BAA" w:rsidRDefault="00073BAA" w:rsidP="009B42FB">
      <w:pPr>
        <w:pStyle w:val="FootnoteText"/>
        <w:rPr>
          <w:rStyle w:val="ssrfcpassagedeactivated"/>
        </w:rPr>
      </w:pPr>
      <w:r w:rsidRPr="00B647C5">
        <w:rPr>
          <w:rStyle w:val="FootnoteReference"/>
        </w:rPr>
        <w:footnoteRef/>
      </w:r>
      <w:r w:rsidRPr="00B647C5">
        <w:t xml:space="preserve"> North Carolina and three other jurisdictions have passed laws that raise the age of criminal responsibility but have delayed implementation of those laws. New York recently passed raise the age legislation setting the age of responsibility at eighteen, but its implementation will occur in phases set to begin October 1, 2018. Likewise, South Carolina’s amendments are effective July 1, 2019 and Louisiana’s are effective July 1, 2018. </w:t>
      </w:r>
      <w:r w:rsidRPr="00B647C5">
        <w:rPr>
          <w:rStyle w:val="ssrfcpassagedeactivated"/>
          <w:i/>
        </w:rPr>
        <w:t xml:space="preserve">See </w:t>
      </w:r>
      <w:r w:rsidR="00435B2A" w:rsidRPr="0046152F">
        <w:rPr>
          <w:rStyle w:val="ssrfcpassagedeactivated"/>
        </w:rPr>
        <w:t>Appendix B.</w:t>
      </w:r>
      <w:r w:rsidRPr="00B647C5">
        <w:rPr>
          <w:rStyle w:val="ssrfcpassagedeactivated"/>
        </w:rPr>
        <w:t xml:space="preserve">  </w:t>
      </w:r>
    </w:p>
    <w:p w14:paraId="71403555" w14:textId="77777777" w:rsidR="00073BAA" w:rsidRPr="00B647C5" w:rsidRDefault="00073BAA" w:rsidP="009B42FB">
      <w:pPr>
        <w:pStyle w:val="FootnoteText"/>
      </w:pPr>
    </w:p>
  </w:footnote>
  <w:footnote w:id="4">
    <w:p w14:paraId="474B01D4" w14:textId="232C234A" w:rsidR="00073BAA" w:rsidRPr="00B647C5" w:rsidRDefault="00073BAA">
      <w:pPr>
        <w:pStyle w:val="FootnoteText"/>
      </w:pPr>
      <w:r w:rsidRPr="00B647C5">
        <w:rPr>
          <w:rStyle w:val="FootnoteReference"/>
        </w:rPr>
        <w:footnoteRef/>
      </w:r>
      <w:r w:rsidRPr="00B647C5">
        <w:t xml:space="preserve"> In a pre-</w:t>
      </w:r>
      <w:r w:rsidRPr="00B647C5">
        <w:rPr>
          <w:i/>
        </w:rPr>
        <w:t>Miller</w:t>
      </w:r>
      <w:r w:rsidRPr="00B647C5">
        <w:t xml:space="preserve"> case, the </w:t>
      </w:r>
      <w:r>
        <w:t>North Carolina</w:t>
      </w:r>
      <w:r w:rsidR="006B2BBC">
        <w:t xml:space="preserve"> </w:t>
      </w:r>
      <w:r w:rsidRPr="00B647C5">
        <w:t xml:space="preserve">Court of Appeals rejected </w:t>
      </w:r>
      <w:r>
        <w:t xml:space="preserve">an </w:t>
      </w:r>
      <w:r w:rsidRPr="00B647C5">
        <w:t>Eighth Amendment challenge to the mandatory transfer of juveniles aged 13 and up charged with a class A felony. S</w:t>
      </w:r>
      <w:r w:rsidRPr="00B647C5">
        <w:rPr>
          <w:i/>
        </w:rPr>
        <w:t>ee State v. Stinnett</w:t>
      </w:r>
      <w:r w:rsidRPr="00B647C5">
        <w:t>, 129 N.C. App. 192 (1998). In light of recent jurisprudence</w:t>
      </w:r>
      <w:r w:rsidR="006B2BBC">
        <w:t>,</w:t>
      </w:r>
      <w:r w:rsidRPr="00B647C5">
        <w:t xml:space="preserve"> and the fact that </w:t>
      </w:r>
      <w:r w:rsidR="00CC144B">
        <w:t xml:space="preserve">the charge against </w:t>
      </w:r>
      <w:r w:rsidR="00BB5B32">
        <w:t>CLIENT</w:t>
      </w:r>
      <w:r w:rsidR="00CC144B">
        <w:t xml:space="preserve"> is</w:t>
      </w:r>
      <w:r w:rsidRPr="00B647C5">
        <w:t xml:space="preserve"> a class H felony, </w:t>
      </w:r>
      <w:r w:rsidR="00CC144B">
        <w:rPr>
          <w:i/>
        </w:rPr>
        <w:t>Stinnett</w:t>
      </w:r>
      <w:r w:rsidRPr="00B647C5">
        <w:t xml:space="preserve"> is inapposite.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9A2"/>
    <w:multiLevelType w:val="hybridMultilevel"/>
    <w:tmpl w:val="91480EBA"/>
    <w:lvl w:ilvl="0" w:tplc="578ACAAC">
      <w:start w:val="1"/>
      <w:numFmt w:val="bullet"/>
      <w:lvlText w:val=""/>
      <w:lvlJc w:val="left"/>
      <w:pPr>
        <w:tabs>
          <w:tab w:val="num" w:pos="720"/>
        </w:tabs>
        <w:ind w:left="720" w:hanging="360"/>
      </w:pPr>
      <w:rPr>
        <w:rFonts w:ascii="Wingdings 2" w:hAnsi="Wingdings 2" w:hint="default"/>
      </w:rPr>
    </w:lvl>
    <w:lvl w:ilvl="1" w:tplc="CDFA9A9E" w:tentative="1">
      <w:start w:val="1"/>
      <w:numFmt w:val="bullet"/>
      <w:lvlText w:val=""/>
      <w:lvlJc w:val="left"/>
      <w:pPr>
        <w:tabs>
          <w:tab w:val="num" w:pos="1440"/>
        </w:tabs>
        <w:ind w:left="1440" w:hanging="360"/>
      </w:pPr>
      <w:rPr>
        <w:rFonts w:ascii="Wingdings 2" w:hAnsi="Wingdings 2" w:hint="default"/>
      </w:rPr>
    </w:lvl>
    <w:lvl w:ilvl="2" w:tplc="484C1ECC" w:tentative="1">
      <w:start w:val="1"/>
      <w:numFmt w:val="bullet"/>
      <w:lvlText w:val=""/>
      <w:lvlJc w:val="left"/>
      <w:pPr>
        <w:tabs>
          <w:tab w:val="num" w:pos="2160"/>
        </w:tabs>
        <w:ind w:left="2160" w:hanging="360"/>
      </w:pPr>
      <w:rPr>
        <w:rFonts w:ascii="Wingdings 2" w:hAnsi="Wingdings 2" w:hint="default"/>
      </w:rPr>
    </w:lvl>
    <w:lvl w:ilvl="3" w:tplc="C0E6C0C0" w:tentative="1">
      <w:start w:val="1"/>
      <w:numFmt w:val="bullet"/>
      <w:lvlText w:val=""/>
      <w:lvlJc w:val="left"/>
      <w:pPr>
        <w:tabs>
          <w:tab w:val="num" w:pos="2880"/>
        </w:tabs>
        <w:ind w:left="2880" w:hanging="360"/>
      </w:pPr>
      <w:rPr>
        <w:rFonts w:ascii="Wingdings 2" w:hAnsi="Wingdings 2" w:hint="default"/>
      </w:rPr>
    </w:lvl>
    <w:lvl w:ilvl="4" w:tplc="283CD7C8" w:tentative="1">
      <w:start w:val="1"/>
      <w:numFmt w:val="bullet"/>
      <w:lvlText w:val=""/>
      <w:lvlJc w:val="left"/>
      <w:pPr>
        <w:tabs>
          <w:tab w:val="num" w:pos="3600"/>
        </w:tabs>
        <w:ind w:left="3600" w:hanging="360"/>
      </w:pPr>
      <w:rPr>
        <w:rFonts w:ascii="Wingdings 2" w:hAnsi="Wingdings 2" w:hint="default"/>
      </w:rPr>
    </w:lvl>
    <w:lvl w:ilvl="5" w:tplc="A9D84636" w:tentative="1">
      <w:start w:val="1"/>
      <w:numFmt w:val="bullet"/>
      <w:lvlText w:val=""/>
      <w:lvlJc w:val="left"/>
      <w:pPr>
        <w:tabs>
          <w:tab w:val="num" w:pos="4320"/>
        </w:tabs>
        <w:ind w:left="4320" w:hanging="360"/>
      </w:pPr>
      <w:rPr>
        <w:rFonts w:ascii="Wingdings 2" w:hAnsi="Wingdings 2" w:hint="default"/>
      </w:rPr>
    </w:lvl>
    <w:lvl w:ilvl="6" w:tplc="EB7A658C" w:tentative="1">
      <w:start w:val="1"/>
      <w:numFmt w:val="bullet"/>
      <w:lvlText w:val=""/>
      <w:lvlJc w:val="left"/>
      <w:pPr>
        <w:tabs>
          <w:tab w:val="num" w:pos="5040"/>
        </w:tabs>
        <w:ind w:left="5040" w:hanging="360"/>
      </w:pPr>
      <w:rPr>
        <w:rFonts w:ascii="Wingdings 2" w:hAnsi="Wingdings 2" w:hint="default"/>
      </w:rPr>
    </w:lvl>
    <w:lvl w:ilvl="7" w:tplc="01E61656" w:tentative="1">
      <w:start w:val="1"/>
      <w:numFmt w:val="bullet"/>
      <w:lvlText w:val=""/>
      <w:lvlJc w:val="left"/>
      <w:pPr>
        <w:tabs>
          <w:tab w:val="num" w:pos="5760"/>
        </w:tabs>
        <w:ind w:left="5760" w:hanging="360"/>
      </w:pPr>
      <w:rPr>
        <w:rFonts w:ascii="Wingdings 2" w:hAnsi="Wingdings 2" w:hint="default"/>
      </w:rPr>
    </w:lvl>
    <w:lvl w:ilvl="8" w:tplc="629EB1C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EFC6808"/>
    <w:multiLevelType w:val="hybridMultilevel"/>
    <w:tmpl w:val="C5E0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30EEA"/>
    <w:multiLevelType w:val="hybridMultilevel"/>
    <w:tmpl w:val="263296CC"/>
    <w:lvl w:ilvl="0" w:tplc="9C34F89C">
      <w:start w:val="1"/>
      <w:numFmt w:val="decimal"/>
      <w:lvlText w:val="%1."/>
      <w:lvlJc w:val="left"/>
      <w:pPr>
        <w:ind w:left="720" w:hanging="360"/>
      </w:pPr>
      <w:rPr>
        <w:rFonts w:eastAsia="Century"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40A0D"/>
    <w:multiLevelType w:val="hybridMultilevel"/>
    <w:tmpl w:val="C1F0A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27A21"/>
    <w:multiLevelType w:val="hybridMultilevel"/>
    <w:tmpl w:val="26CCD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200F97"/>
    <w:multiLevelType w:val="hybridMultilevel"/>
    <w:tmpl w:val="C3541EDE"/>
    <w:lvl w:ilvl="0" w:tplc="48B6C4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67CDE"/>
    <w:multiLevelType w:val="hybridMultilevel"/>
    <w:tmpl w:val="3E26B2C0"/>
    <w:lvl w:ilvl="0" w:tplc="EAD6C3D6">
      <w:start w:val="1"/>
      <w:numFmt w:val="bullet"/>
      <w:lvlText w:val=""/>
      <w:lvlJc w:val="left"/>
      <w:pPr>
        <w:tabs>
          <w:tab w:val="num" w:pos="720"/>
        </w:tabs>
        <w:ind w:left="720" w:hanging="360"/>
      </w:pPr>
      <w:rPr>
        <w:rFonts w:ascii="Wingdings 2" w:hAnsi="Wingdings 2" w:hint="default"/>
      </w:rPr>
    </w:lvl>
    <w:lvl w:ilvl="1" w:tplc="6818FA6C" w:tentative="1">
      <w:start w:val="1"/>
      <w:numFmt w:val="bullet"/>
      <w:lvlText w:val=""/>
      <w:lvlJc w:val="left"/>
      <w:pPr>
        <w:tabs>
          <w:tab w:val="num" w:pos="1440"/>
        </w:tabs>
        <w:ind w:left="1440" w:hanging="360"/>
      </w:pPr>
      <w:rPr>
        <w:rFonts w:ascii="Wingdings 2" w:hAnsi="Wingdings 2" w:hint="default"/>
      </w:rPr>
    </w:lvl>
    <w:lvl w:ilvl="2" w:tplc="B8FE601C" w:tentative="1">
      <w:start w:val="1"/>
      <w:numFmt w:val="bullet"/>
      <w:lvlText w:val=""/>
      <w:lvlJc w:val="left"/>
      <w:pPr>
        <w:tabs>
          <w:tab w:val="num" w:pos="2160"/>
        </w:tabs>
        <w:ind w:left="2160" w:hanging="360"/>
      </w:pPr>
      <w:rPr>
        <w:rFonts w:ascii="Wingdings 2" w:hAnsi="Wingdings 2" w:hint="default"/>
      </w:rPr>
    </w:lvl>
    <w:lvl w:ilvl="3" w:tplc="6FDE0344" w:tentative="1">
      <w:start w:val="1"/>
      <w:numFmt w:val="bullet"/>
      <w:lvlText w:val=""/>
      <w:lvlJc w:val="left"/>
      <w:pPr>
        <w:tabs>
          <w:tab w:val="num" w:pos="2880"/>
        </w:tabs>
        <w:ind w:left="2880" w:hanging="360"/>
      </w:pPr>
      <w:rPr>
        <w:rFonts w:ascii="Wingdings 2" w:hAnsi="Wingdings 2" w:hint="default"/>
      </w:rPr>
    </w:lvl>
    <w:lvl w:ilvl="4" w:tplc="8C5AFF62" w:tentative="1">
      <w:start w:val="1"/>
      <w:numFmt w:val="bullet"/>
      <w:lvlText w:val=""/>
      <w:lvlJc w:val="left"/>
      <w:pPr>
        <w:tabs>
          <w:tab w:val="num" w:pos="3600"/>
        </w:tabs>
        <w:ind w:left="3600" w:hanging="360"/>
      </w:pPr>
      <w:rPr>
        <w:rFonts w:ascii="Wingdings 2" w:hAnsi="Wingdings 2" w:hint="default"/>
      </w:rPr>
    </w:lvl>
    <w:lvl w:ilvl="5" w:tplc="E110C096" w:tentative="1">
      <w:start w:val="1"/>
      <w:numFmt w:val="bullet"/>
      <w:lvlText w:val=""/>
      <w:lvlJc w:val="left"/>
      <w:pPr>
        <w:tabs>
          <w:tab w:val="num" w:pos="4320"/>
        </w:tabs>
        <w:ind w:left="4320" w:hanging="360"/>
      </w:pPr>
      <w:rPr>
        <w:rFonts w:ascii="Wingdings 2" w:hAnsi="Wingdings 2" w:hint="default"/>
      </w:rPr>
    </w:lvl>
    <w:lvl w:ilvl="6" w:tplc="ABF697B6" w:tentative="1">
      <w:start w:val="1"/>
      <w:numFmt w:val="bullet"/>
      <w:lvlText w:val=""/>
      <w:lvlJc w:val="left"/>
      <w:pPr>
        <w:tabs>
          <w:tab w:val="num" w:pos="5040"/>
        </w:tabs>
        <w:ind w:left="5040" w:hanging="360"/>
      </w:pPr>
      <w:rPr>
        <w:rFonts w:ascii="Wingdings 2" w:hAnsi="Wingdings 2" w:hint="default"/>
      </w:rPr>
    </w:lvl>
    <w:lvl w:ilvl="7" w:tplc="A3B25A86" w:tentative="1">
      <w:start w:val="1"/>
      <w:numFmt w:val="bullet"/>
      <w:lvlText w:val=""/>
      <w:lvlJc w:val="left"/>
      <w:pPr>
        <w:tabs>
          <w:tab w:val="num" w:pos="5760"/>
        </w:tabs>
        <w:ind w:left="5760" w:hanging="360"/>
      </w:pPr>
      <w:rPr>
        <w:rFonts w:ascii="Wingdings 2" w:hAnsi="Wingdings 2" w:hint="default"/>
      </w:rPr>
    </w:lvl>
    <w:lvl w:ilvl="8" w:tplc="2DB850E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2F90A65"/>
    <w:multiLevelType w:val="hybridMultilevel"/>
    <w:tmpl w:val="EE3E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D1B73"/>
    <w:multiLevelType w:val="hybridMultilevel"/>
    <w:tmpl w:val="5FC0B786"/>
    <w:lvl w:ilvl="0" w:tplc="E28EE4E2">
      <w:start w:val="1"/>
      <w:numFmt w:val="decimal"/>
      <w:lvlText w:val="(%1)"/>
      <w:lvlJc w:val="left"/>
      <w:pPr>
        <w:ind w:left="2190" w:hanging="75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7A23871"/>
    <w:multiLevelType w:val="hybridMultilevel"/>
    <w:tmpl w:val="02B4F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F717C"/>
    <w:multiLevelType w:val="hybridMultilevel"/>
    <w:tmpl w:val="E9E6B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72C62"/>
    <w:multiLevelType w:val="hybridMultilevel"/>
    <w:tmpl w:val="91D03BE4"/>
    <w:lvl w:ilvl="0" w:tplc="33A0DB00">
      <w:start w:val="1"/>
      <w:numFmt w:val="upperRoman"/>
      <w:lvlText w:val="%1."/>
      <w:lvlJc w:val="left"/>
      <w:pPr>
        <w:ind w:left="1080" w:hanging="720"/>
      </w:pPr>
      <w:rPr>
        <w:rFonts w:hint="default"/>
      </w:rPr>
    </w:lvl>
    <w:lvl w:ilvl="1" w:tplc="F334BD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D3601"/>
    <w:multiLevelType w:val="hybridMultilevel"/>
    <w:tmpl w:val="1028406C"/>
    <w:lvl w:ilvl="0" w:tplc="45843E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E8188E"/>
    <w:multiLevelType w:val="singleLevel"/>
    <w:tmpl w:val="51EEA5FC"/>
    <w:lvl w:ilvl="0">
      <w:start w:val="1"/>
      <w:numFmt w:val="decimal"/>
      <w:lvlText w:val="%1."/>
      <w:lvlJc w:val="left"/>
      <w:pPr>
        <w:tabs>
          <w:tab w:val="num" w:pos="1080"/>
        </w:tabs>
        <w:ind w:left="1080" w:hanging="360"/>
      </w:pPr>
      <w:rPr>
        <w:rFonts w:hint="default"/>
      </w:rPr>
    </w:lvl>
  </w:abstractNum>
  <w:abstractNum w:abstractNumId="14" w15:restartNumberingAfterBreak="0">
    <w:nsid w:val="6F892CCB"/>
    <w:multiLevelType w:val="hybridMultilevel"/>
    <w:tmpl w:val="A6A0DBB0"/>
    <w:lvl w:ilvl="0" w:tplc="ECB6B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37E3C"/>
    <w:multiLevelType w:val="hybridMultilevel"/>
    <w:tmpl w:val="EB0841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BC0FF7"/>
    <w:multiLevelType w:val="hybridMultilevel"/>
    <w:tmpl w:val="4C6E90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8B106C"/>
    <w:multiLevelType w:val="hybridMultilevel"/>
    <w:tmpl w:val="7D0246FA"/>
    <w:lvl w:ilvl="0" w:tplc="A39AC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3"/>
  </w:num>
  <w:num w:numId="4">
    <w:abstractNumId w:val="15"/>
  </w:num>
  <w:num w:numId="5">
    <w:abstractNumId w:val="8"/>
  </w:num>
  <w:num w:numId="6">
    <w:abstractNumId w:val="16"/>
  </w:num>
  <w:num w:numId="7">
    <w:abstractNumId w:val="12"/>
  </w:num>
  <w:num w:numId="8">
    <w:abstractNumId w:val="14"/>
  </w:num>
  <w:num w:numId="9">
    <w:abstractNumId w:val="5"/>
  </w:num>
  <w:num w:numId="10">
    <w:abstractNumId w:val="13"/>
  </w:num>
  <w:num w:numId="11">
    <w:abstractNumId w:val="11"/>
  </w:num>
  <w:num w:numId="12">
    <w:abstractNumId w:val="7"/>
  </w:num>
  <w:num w:numId="13">
    <w:abstractNumId w:val="1"/>
  </w:num>
  <w:num w:numId="14">
    <w:abstractNumId w:val="9"/>
  </w:num>
  <w:num w:numId="15">
    <w:abstractNumId w:val="17"/>
  </w:num>
  <w:num w:numId="16">
    <w:abstractNumId w:val="2"/>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7BF"/>
    <w:rsid w:val="00021507"/>
    <w:rsid w:val="00025422"/>
    <w:rsid w:val="00031664"/>
    <w:rsid w:val="00032AF3"/>
    <w:rsid w:val="0003385D"/>
    <w:rsid w:val="00073BAA"/>
    <w:rsid w:val="00091267"/>
    <w:rsid w:val="000A2F3C"/>
    <w:rsid w:val="000E3EC6"/>
    <w:rsid w:val="000E46F8"/>
    <w:rsid w:val="000F1B6F"/>
    <w:rsid w:val="000F67A8"/>
    <w:rsid w:val="000F7EFB"/>
    <w:rsid w:val="0011415C"/>
    <w:rsid w:val="00114EE0"/>
    <w:rsid w:val="00130261"/>
    <w:rsid w:val="00140ACD"/>
    <w:rsid w:val="001459CA"/>
    <w:rsid w:val="001753E2"/>
    <w:rsid w:val="00182255"/>
    <w:rsid w:val="001A34A5"/>
    <w:rsid w:val="001A5E6F"/>
    <w:rsid w:val="001C499A"/>
    <w:rsid w:val="001C5D56"/>
    <w:rsid w:val="001D5714"/>
    <w:rsid w:val="001F0F06"/>
    <w:rsid w:val="001F5449"/>
    <w:rsid w:val="0020484F"/>
    <w:rsid w:val="00210886"/>
    <w:rsid w:val="00213806"/>
    <w:rsid w:val="0021390C"/>
    <w:rsid w:val="00226E41"/>
    <w:rsid w:val="00254359"/>
    <w:rsid w:val="002702E7"/>
    <w:rsid w:val="00272BD6"/>
    <w:rsid w:val="00291735"/>
    <w:rsid w:val="00291BA2"/>
    <w:rsid w:val="002A1E07"/>
    <w:rsid w:val="002B50C2"/>
    <w:rsid w:val="002B56F5"/>
    <w:rsid w:val="002D7C99"/>
    <w:rsid w:val="002F0498"/>
    <w:rsid w:val="002F1CC2"/>
    <w:rsid w:val="003068A8"/>
    <w:rsid w:val="00311CA0"/>
    <w:rsid w:val="003565D4"/>
    <w:rsid w:val="00356A92"/>
    <w:rsid w:val="0037625A"/>
    <w:rsid w:val="003925E7"/>
    <w:rsid w:val="003A076E"/>
    <w:rsid w:val="003A3EFB"/>
    <w:rsid w:val="003B71F6"/>
    <w:rsid w:val="003D1899"/>
    <w:rsid w:val="003D345E"/>
    <w:rsid w:val="003D52B9"/>
    <w:rsid w:val="003F1C35"/>
    <w:rsid w:val="0040642B"/>
    <w:rsid w:val="00435B2A"/>
    <w:rsid w:val="00440184"/>
    <w:rsid w:val="00445A40"/>
    <w:rsid w:val="00456648"/>
    <w:rsid w:val="0046152F"/>
    <w:rsid w:val="004A2221"/>
    <w:rsid w:val="004A56FC"/>
    <w:rsid w:val="004B680D"/>
    <w:rsid w:val="004C19EA"/>
    <w:rsid w:val="004C4851"/>
    <w:rsid w:val="004D0A09"/>
    <w:rsid w:val="004D11EB"/>
    <w:rsid w:val="004D3203"/>
    <w:rsid w:val="004D37BF"/>
    <w:rsid w:val="004E13BE"/>
    <w:rsid w:val="004F4002"/>
    <w:rsid w:val="00513F40"/>
    <w:rsid w:val="00514656"/>
    <w:rsid w:val="00520D31"/>
    <w:rsid w:val="00521090"/>
    <w:rsid w:val="005268D8"/>
    <w:rsid w:val="00526E40"/>
    <w:rsid w:val="00542081"/>
    <w:rsid w:val="00544C34"/>
    <w:rsid w:val="00554563"/>
    <w:rsid w:val="00576F31"/>
    <w:rsid w:val="00584605"/>
    <w:rsid w:val="005C0B0E"/>
    <w:rsid w:val="005C0BAA"/>
    <w:rsid w:val="005E023A"/>
    <w:rsid w:val="00605A0B"/>
    <w:rsid w:val="00616F78"/>
    <w:rsid w:val="00622769"/>
    <w:rsid w:val="0063092B"/>
    <w:rsid w:val="0063302D"/>
    <w:rsid w:val="00645DE6"/>
    <w:rsid w:val="006604ED"/>
    <w:rsid w:val="00664AF1"/>
    <w:rsid w:val="0066730B"/>
    <w:rsid w:val="00677A6E"/>
    <w:rsid w:val="006973FD"/>
    <w:rsid w:val="006B2BBC"/>
    <w:rsid w:val="006C0C33"/>
    <w:rsid w:val="006C1D4C"/>
    <w:rsid w:val="006C2B3C"/>
    <w:rsid w:val="006C5244"/>
    <w:rsid w:val="006D2CBF"/>
    <w:rsid w:val="006D7B7E"/>
    <w:rsid w:val="006E133F"/>
    <w:rsid w:val="006F6E37"/>
    <w:rsid w:val="00706C87"/>
    <w:rsid w:val="00707212"/>
    <w:rsid w:val="007074CC"/>
    <w:rsid w:val="00715782"/>
    <w:rsid w:val="007207FD"/>
    <w:rsid w:val="00721B02"/>
    <w:rsid w:val="007355CE"/>
    <w:rsid w:val="00760F89"/>
    <w:rsid w:val="00763D1D"/>
    <w:rsid w:val="00767327"/>
    <w:rsid w:val="007733E5"/>
    <w:rsid w:val="00775359"/>
    <w:rsid w:val="007B74EF"/>
    <w:rsid w:val="007C6623"/>
    <w:rsid w:val="007C6A20"/>
    <w:rsid w:val="007D4D8B"/>
    <w:rsid w:val="007D5EBD"/>
    <w:rsid w:val="007F46A4"/>
    <w:rsid w:val="008028DB"/>
    <w:rsid w:val="008214D3"/>
    <w:rsid w:val="008218DD"/>
    <w:rsid w:val="00822D24"/>
    <w:rsid w:val="008264F8"/>
    <w:rsid w:val="008312D5"/>
    <w:rsid w:val="00834B81"/>
    <w:rsid w:val="00843DB1"/>
    <w:rsid w:val="00861455"/>
    <w:rsid w:val="00861C27"/>
    <w:rsid w:val="00881AB5"/>
    <w:rsid w:val="00886B41"/>
    <w:rsid w:val="008A5167"/>
    <w:rsid w:val="008C5294"/>
    <w:rsid w:val="008C634A"/>
    <w:rsid w:val="008D1013"/>
    <w:rsid w:val="009020B1"/>
    <w:rsid w:val="00911209"/>
    <w:rsid w:val="009141FD"/>
    <w:rsid w:val="009436E4"/>
    <w:rsid w:val="00950F3E"/>
    <w:rsid w:val="0097369D"/>
    <w:rsid w:val="00991C97"/>
    <w:rsid w:val="009931FC"/>
    <w:rsid w:val="009B42FB"/>
    <w:rsid w:val="009D107E"/>
    <w:rsid w:val="009D45CA"/>
    <w:rsid w:val="009D63AF"/>
    <w:rsid w:val="009E14FD"/>
    <w:rsid w:val="009E6A69"/>
    <w:rsid w:val="009F15BC"/>
    <w:rsid w:val="009F6CD6"/>
    <w:rsid w:val="00A05DA3"/>
    <w:rsid w:val="00A0621F"/>
    <w:rsid w:val="00A12F75"/>
    <w:rsid w:val="00A32119"/>
    <w:rsid w:val="00A37896"/>
    <w:rsid w:val="00A40EC1"/>
    <w:rsid w:val="00A41727"/>
    <w:rsid w:val="00A436E7"/>
    <w:rsid w:val="00A57067"/>
    <w:rsid w:val="00A60845"/>
    <w:rsid w:val="00A76942"/>
    <w:rsid w:val="00A8296B"/>
    <w:rsid w:val="00A9497C"/>
    <w:rsid w:val="00AB2D18"/>
    <w:rsid w:val="00AB35FA"/>
    <w:rsid w:val="00AB7960"/>
    <w:rsid w:val="00AC2B65"/>
    <w:rsid w:val="00B05038"/>
    <w:rsid w:val="00B2166B"/>
    <w:rsid w:val="00B22093"/>
    <w:rsid w:val="00B41054"/>
    <w:rsid w:val="00B647C5"/>
    <w:rsid w:val="00B71081"/>
    <w:rsid w:val="00B727AF"/>
    <w:rsid w:val="00B835A6"/>
    <w:rsid w:val="00B847F1"/>
    <w:rsid w:val="00B85D2A"/>
    <w:rsid w:val="00B92D6C"/>
    <w:rsid w:val="00BA33C7"/>
    <w:rsid w:val="00BB3C8D"/>
    <w:rsid w:val="00BB5B32"/>
    <w:rsid w:val="00BB6163"/>
    <w:rsid w:val="00BE48D2"/>
    <w:rsid w:val="00BE7AF3"/>
    <w:rsid w:val="00C21D2E"/>
    <w:rsid w:val="00C37E15"/>
    <w:rsid w:val="00C54335"/>
    <w:rsid w:val="00C57D26"/>
    <w:rsid w:val="00C61856"/>
    <w:rsid w:val="00C67287"/>
    <w:rsid w:val="00CA0285"/>
    <w:rsid w:val="00CA579B"/>
    <w:rsid w:val="00CA75A3"/>
    <w:rsid w:val="00CA7A9C"/>
    <w:rsid w:val="00CB10B8"/>
    <w:rsid w:val="00CC144B"/>
    <w:rsid w:val="00CC1FAE"/>
    <w:rsid w:val="00CC590E"/>
    <w:rsid w:val="00CD28DD"/>
    <w:rsid w:val="00CD2D91"/>
    <w:rsid w:val="00CF12A9"/>
    <w:rsid w:val="00CF157B"/>
    <w:rsid w:val="00D07C30"/>
    <w:rsid w:val="00D108C8"/>
    <w:rsid w:val="00D108ED"/>
    <w:rsid w:val="00D11D46"/>
    <w:rsid w:val="00D14BE6"/>
    <w:rsid w:val="00D30FC8"/>
    <w:rsid w:val="00D46C88"/>
    <w:rsid w:val="00D6474A"/>
    <w:rsid w:val="00D7150D"/>
    <w:rsid w:val="00D74265"/>
    <w:rsid w:val="00D90229"/>
    <w:rsid w:val="00DA46EE"/>
    <w:rsid w:val="00DB596B"/>
    <w:rsid w:val="00DC0365"/>
    <w:rsid w:val="00DD3E12"/>
    <w:rsid w:val="00DD47A3"/>
    <w:rsid w:val="00DE0F49"/>
    <w:rsid w:val="00DF024D"/>
    <w:rsid w:val="00E259A8"/>
    <w:rsid w:val="00E26D2B"/>
    <w:rsid w:val="00E36C39"/>
    <w:rsid w:val="00E40B1E"/>
    <w:rsid w:val="00E46F95"/>
    <w:rsid w:val="00E66831"/>
    <w:rsid w:val="00E66ADD"/>
    <w:rsid w:val="00E74B88"/>
    <w:rsid w:val="00E76387"/>
    <w:rsid w:val="00E85CAF"/>
    <w:rsid w:val="00E9207F"/>
    <w:rsid w:val="00E92AED"/>
    <w:rsid w:val="00EA17B3"/>
    <w:rsid w:val="00EA6E31"/>
    <w:rsid w:val="00EC3AEA"/>
    <w:rsid w:val="00EC67B9"/>
    <w:rsid w:val="00ED3B08"/>
    <w:rsid w:val="00EE3B5F"/>
    <w:rsid w:val="00EE50D8"/>
    <w:rsid w:val="00EF0DA3"/>
    <w:rsid w:val="00EF1517"/>
    <w:rsid w:val="00F12847"/>
    <w:rsid w:val="00F134BD"/>
    <w:rsid w:val="00F2182B"/>
    <w:rsid w:val="00F46B69"/>
    <w:rsid w:val="00F50E9E"/>
    <w:rsid w:val="00F6383C"/>
    <w:rsid w:val="00F80FA3"/>
    <w:rsid w:val="00F94892"/>
    <w:rsid w:val="00F9724D"/>
    <w:rsid w:val="00F9773D"/>
    <w:rsid w:val="00FA6C76"/>
    <w:rsid w:val="00FB3540"/>
    <w:rsid w:val="00FD0D54"/>
    <w:rsid w:val="00FD1EF5"/>
    <w:rsid w:val="00FD2FED"/>
    <w:rsid w:val="00FE05CF"/>
    <w:rsid w:val="00FE3E2D"/>
    <w:rsid w:val="00FE77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25D86"/>
  <w15:docId w15:val="{41C99791-DCAD-4892-802D-2E4C2728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851"/>
    <w:rPr>
      <w:sz w:val="24"/>
      <w:szCs w:val="24"/>
    </w:rPr>
  </w:style>
  <w:style w:type="paragraph" w:styleId="Heading1">
    <w:name w:val="heading 1"/>
    <w:basedOn w:val="Normal"/>
    <w:next w:val="Normal"/>
    <w:qFormat/>
    <w:rsid w:val="004D37BF"/>
    <w:pPr>
      <w:keepNext/>
      <w:outlineLvl w:val="0"/>
    </w:pPr>
    <w:rPr>
      <w:szCs w:val="20"/>
    </w:rPr>
  </w:style>
  <w:style w:type="paragraph" w:styleId="Heading2">
    <w:name w:val="heading 2"/>
    <w:basedOn w:val="Normal"/>
    <w:next w:val="Normal"/>
    <w:link w:val="Heading2Char"/>
    <w:uiPriority w:val="9"/>
    <w:unhideWhenUsed/>
    <w:qFormat/>
    <w:rsid w:val="004C48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37BF"/>
    <w:pPr>
      <w:spacing w:line="360" w:lineRule="auto"/>
    </w:pPr>
    <w:rPr>
      <w:szCs w:val="20"/>
    </w:rPr>
  </w:style>
  <w:style w:type="paragraph" w:styleId="BodyTextIndent">
    <w:name w:val="Body Text Indent"/>
    <w:basedOn w:val="Normal"/>
    <w:rsid w:val="004D37BF"/>
    <w:pPr>
      <w:spacing w:after="120"/>
      <w:ind w:left="360"/>
    </w:pPr>
    <w:rPr>
      <w:sz w:val="20"/>
      <w:szCs w:val="20"/>
    </w:rPr>
  </w:style>
  <w:style w:type="paragraph" w:styleId="ListParagraph">
    <w:name w:val="List Paragraph"/>
    <w:basedOn w:val="Normal"/>
    <w:uiPriority w:val="34"/>
    <w:qFormat/>
    <w:rsid w:val="00E40B1E"/>
    <w:pPr>
      <w:ind w:left="720"/>
      <w:contextualSpacing/>
    </w:pPr>
    <w:rPr>
      <w:sz w:val="20"/>
      <w:szCs w:val="20"/>
    </w:rPr>
  </w:style>
  <w:style w:type="paragraph" w:customStyle="1" w:styleId="amargin1">
    <w:name w:val="amargin1"/>
    <w:basedOn w:val="Normal"/>
    <w:rsid w:val="009D107E"/>
    <w:pPr>
      <w:spacing w:before="100" w:beforeAutospacing="1" w:after="100" w:afterAutospacing="1"/>
    </w:pPr>
  </w:style>
  <w:style w:type="paragraph" w:customStyle="1" w:styleId="ablock1">
    <w:name w:val="ablock1"/>
    <w:basedOn w:val="Normal"/>
    <w:rsid w:val="009D107E"/>
    <w:pPr>
      <w:spacing w:before="100" w:beforeAutospacing="1" w:after="100" w:afterAutospacing="1"/>
    </w:pPr>
  </w:style>
  <w:style w:type="character" w:styleId="Hyperlink">
    <w:name w:val="Hyperlink"/>
    <w:basedOn w:val="DefaultParagraphFont"/>
    <w:uiPriority w:val="99"/>
    <w:unhideWhenUsed/>
    <w:rsid w:val="00A12F75"/>
    <w:rPr>
      <w:color w:val="0000FF"/>
      <w:u w:val="single"/>
    </w:rPr>
  </w:style>
  <w:style w:type="character" w:customStyle="1" w:styleId="pmterms2">
    <w:name w:val="pmterms2"/>
    <w:basedOn w:val="DefaultParagraphFont"/>
    <w:rsid w:val="00A12F75"/>
  </w:style>
  <w:style w:type="paragraph" w:styleId="BalloonText">
    <w:name w:val="Balloon Text"/>
    <w:basedOn w:val="Normal"/>
    <w:link w:val="BalloonTextChar"/>
    <w:rsid w:val="00032AF3"/>
    <w:rPr>
      <w:rFonts w:ascii="Tahoma" w:hAnsi="Tahoma" w:cs="Tahoma"/>
      <w:sz w:val="16"/>
      <w:szCs w:val="16"/>
    </w:rPr>
  </w:style>
  <w:style w:type="character" w:customStyle="1" w:styleId="BalloonTextChar">
    <w:name w:val="Balloon Text Char"/>
    <w:basedOn w:val="DefaultParagraphFont"/>
    <w:link w:val="BalloonText"/>
    <w:rsid w:val="00032AF3"/>
    <w:rPr>
      <w:rFonts w:ascii="Tahoma" w:hAnsi="Tahoma" w:cs="Tahoma"/>
      <w:sz w:val="16"/>
      <w:szCs w:val="16"/>
    </w:rPr>
  </w:style>
  <w:style w:type="character" w:styleId="Emphasis">
    <w:name w:val="Emphasis"/>
    <w:basedOn w:val="DefaultParagraphFont"/>
    <w:uiPriority w:val="20"/>
    <w:qFormat/>
    <w:rsid w:val="0021390C"/>
    <w:rPr>
      <w:i/>
      <w:iCs/>
    </w:rPr>
  </w:style>
  <w:style w:type="paragraph" w:customStyle="1" w:styleId="Default">
    <w:name w:val="Default"/>
    <w:rsid w:val="00272BD6"/>
    <w:pPr>
      <w:autoSpaceDE w:val="0"/>
      <w:autoSpaceDN w:val="0"/>
      <w:adjustRightInd w:val="0"/>
    </w:pPr>
    <w:rPr>
      <w:rFonts w:eastAsiaTheme="minorHAnsi"/>
      <w:color w:val="000000"/>
      <w:sz w:val="24"/>
      <w:szCs w:val="24"/>
    </w:rPr>
  </w:style>
  <w:style w:type="character" w:customStyle="1" w:styleId="ssrfcpassagedeactivated">
    <w:name w:val="ss_rfcpassage_deactivated"/>
    <w:basedOn w:val="DefaultParagraphFont"/>
    <w:rsid w:val="00554563"/>
  </w:style>
  <w:style w:type="character" w:customStyle="1" w:styleId="ssit">
    <w:name w:val="ss_it"/>
    <w:basedOn w:val="DefaultParagraphFont"/>
    <w:rsid w:val="00EA6E31"/>
  </w:style>
  <w:style w:type="character" w:customStyle="1" w:styleId="ssleftalign">
    <w:name w:val="ss_leftalign"/>
    <w:basedOn w:val="DefaultParagraphFont"/>
    <w:rsid w:val="004D0A09"/>
  </w:style>
  <w:style w:type="character" w:styleId="FollowedHyperlink">
    <w:name w:val="FollowedHyperlink"/>
    <w:basedOn w:val="DefaultParagraphFont"/>
    <w:semiHidden/>
    <w:unhideWhenUsed/>
    <w:rsid w:val="000E46F8"/>
    <w:rPr>
      <w:color w:val="800080" w:themeColor="followedHyperlink"/>
      <w:u w:val="single"/>
    </w:rPr>
  </w:style>
  <w:style w:type="paragraph" w:styleId="Header">
    <w:name w:val="header"/>
    <w:basedOn w:val="Normal"/>
    <w:link w:val="HeaderChar"/>
    <w:unhideWhenUsed/>
    <w:rsid w:val="007C6623"/>
    <w:pPr>
      <w:tabs>
        <w:tab w:val="center" w:pos="4680"/>
        <w:tab w:val="right" w:pos="9360"/>
      </w:tabs>
    </w:pPr>
    <w:rPr>
      <w:sz w:val="20"/>
      <w:szCs w:val="20"/>
    </w:rPr>
  </w:style>
  <w:style w:type="character" w:customStyle="1" w:styleId="HeaderChar">
    <w:name w:val="Header Char"/>
    <w:basedOn w:val="DefaultParagraphFont"/>
    <w:link w:val="Header"/>
    <w:rsid w:val="007C6623"/>
  </w:style>
  <w:style w:type="paragraph" w:styleId="Footer">
    <w:name w:val="footer"/>
    <w:basedOn w:val="Normal"/>
    <w:link w:val="FooterChar"/>
    <w:uiPriority w:val="99"/>
    <w:unhideWhenUsed/>
    <w:rsid w:val="007C6623"/>
    <w:pPr>
      <w:tabs>
        <w:tab w:val="center" w:pos="4680"/>
        <w:tab w:val="right" w:pos="9360"/>
      </w:tabs>
    </w:pPr>
    <w:rPr>
      <w:sz w:val="20"/>
      <w:szCs w:val="20"/>
    </w:rPr>
  </w:style>
  <w:style w:type="character" w:customStyle="1" w:styleId="FooterChar">
    <w:name w:val="Footer Char"/>
    <w:basedOn w:val="DefaultParagraphFont"/>
    <w:link w:val="Footer"/>
    <w:uiPriority w:val="99"/>
    <w:rsid w:val="007C6623"/>
  </w:style>
  <w:style w:type="paragraph" w:styleId="FootnoteText">
    <w:name w:val="footnote text"/>
    <w:basedOn w:val="Normal"/>
    <w:link w:val="FootnoteTextChar"/>
    <w:unhideWhenUsed/>
    <w:rsid w:val="007C6623"/>
    <w:rPr>
      <w:sz w:val="20"/>
      <w:szCs w:val="20"/>
    </w:rPr>
  </w:style>
  <w:style w:type="character" w:customStyle="1" w:styleId="FootnoteTextChar">
    <w:name w:val="Footnote Text Char"/>
    <w:basedOn w:val="DefaultParagraphFont"/>
    <w:link w:val="FootnoteText"/>
    <w:rsid w:val="007C6623"/>
  </w:style>
  <w:style w:type="character" w:styleId="FootnoteReference">
    <w:name w:val="footnote reference"/>
    <w:basedOn w:val="DefaultParagraphFont"/>
    <w:unhideWhenUsed/>
    <w:rsid w:val="007C6623"/>
    <w:rPr>
      <w:vertAlign w:val="superscript"/>
    </w:rPr>
  </w:style>
  <w:style w:type="character" w:customStyle="1" w:styleId="ssparacontent">
    <w:name w:val="ss_paracontent"/>
    <w:basedOn w:val="DefaultParagraphFont"/>
    <w:rsid w:val="00BE48D2"/>
  </w:style>
  <w:style w:type="character" w:customStyle="1" w:styleId="ssparalabel">
    <w:name w:val="ss_paralabel"/>
    <w:basedOn w:val="DefaultParagraphFont"/>
    <w:rsid w:val="00BE48D2"/>
  </w:style>
  <w:style w:type="character" w:customStyle="1" w:styleId="ssbf">
    <w:name w:val="ss_bf"/>
    <w:basedOn w:val="DefaultParagraphFont"/>
    <w:rsid w:val="00BE48D2"/>
  </w:style>
  <w:style w:type="character" w:styleId="CommentReference">
    <w:name w:val="annotation reference"/>
    <w:basedOn w:val="DefaultParagraphFont"/>
    <w:semiHidden/>
    <w:unhideWhenUsed/>
    <w:rsid w:val="00DD3E12"/>
    <w:rPr>
      <w:sz w:val="16"/>
      <w:szCs w:val="16"/>
    </w:rPr>
  </w:style>
  <w:style w:type="paragraph" w:styleId="CommentText">
    <w:name w:val="annotation text"/>
    <w:basedOn w:val="Normal"/>
    <w:link w:val="CommentTextChar"/>
    <w:unhideWhenUsed/>
    <w:rsid w:val="00DD3E12"/>
    <w:rPr>
      <w:sz w:val="20"/>
      <w:szCs w:val="20"/>
    </w:rPr>
  </w:style>
  <w:style w:type="character" w:customStyle="1" w:styleId="CommentTextChar">
    <w:name w:val="Comment Text Char"/>
    <w:basedOn w:val="DefaultParagraphFont"/>
    <w:link w:val="CommentText"/>
    <w:rsid w:val="00DD3E12"/>
  </w:style>
  <w:style w:type="paragraph" w:styleId="CommentSubject">
    <w:name w:val="annotation subject"/>
    <w:basedOn w:val="CommentText"/>
    <w:next w:val="CommentText"/>
    <w:link w:val="CommentSubjectChar"/>
    <w:semiHidden/>
    <w:unhideWhenUsed/>
    <w:rsid w:val="00DD3E12"/>
    <w:rPr>
      <w:b/>
      <w:bCs/>
    </w:rPr>
  </w:style>
  <w:style w:type="character" w:customStyle="1" w:styleId="CommentSubjectChar">
    <w:name w:val="Comment Subject Char"/>
    <w:basedOn w:val="CommentTextChar"/>
    <w:link w:val="CommentSubject"/>
    <w:semiHidden/>
    <w:rsid w:val="00DD3E12"/>
    <w:rPr>
      <w:b/>
      <w:bCs/>
    </w:rPr>
  </w:style>
  <w:style w:type="character" w:customStyle="1" w:styleId="Heading2Char">
    <w:name w:val="Heading 2 Char"/>
    <w:basedOn w:val="DefaultParagraphFont"/>
    <w:link w:val="Heading2"/>
    <w:uiPriority w:val="9"/>
    <w:rsid w:val="004C48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5134">
      <w:bodyDiv w:val="1"/>
      <w:marLeft w:val="0"/>
      <w:marRight w:val="0"/>
      <w:marTop w:val="0"/>
      <w:marBottom w:val="0"/>
      <w:divBdr>
        <w:top w:val="none" w:sz="0" w:space="0" w:color="auto"/>
        <w:left w:val="none" w:sz="0" w:space="0" w:color="auto"/>
        <w:bottom w:val="none" w:sz="0" w:space="0" w:color="auto"/>
        <w:right w:val="none" w:sz="0" w:space="0" w:color="auto"/>
      </w:divBdr>
    </w:div>
    <w:div w:id="256645370">
      <w:bodyDiv w:val="1"/>
      <w:marLeft w:val="0"/>
      <w:marRight w:val="0"/>
      <w:marTop w:val="0"/>
      <w:marBottom w:val="0"/>
      <w:divBdr>
        <w:top w:val="none" w:sz="0" w:space="0" w:color="auto"/>
        <w:left w:val="none" w:sz="0" w:space="0" w:color="auto"/>
        <w:bottom w:val="none" w:sz="0" w:space="0" w:color="auto"/>
        <w:right w:val="none" w:sz="0" w:space="0" w:color="auto"/>
      </w:divBdr>
      <w:divsChild>
        <w:div w:id="1547525417">
          <w:marLeft w:val="432"/>
          <w:marRight w:val="0"/>
          <w:marTop w:val="120"/>
          <w:marBottom w:val="0"/>
          <w:divBdr>
            <w:top w:val="none" w:sz="0" w:space="0" w:color="auto"/>
            <w:left w:val="none" w:sz="0" w:space="0" w:color="auto"/>
            <w:bottom w:val="none" w:sz="0" w:space="0" w:color="auto"/>
            <w:right w:val="none" w:sz="0" w:space="0" w:color="auto"/>
          </w:divBdr>
        </w:div>
      </w:divsChild>
    </w:div>
    <w:div w:id="505901952">
      <w:bodyDiv w:val="1"/>
      <w:marLeft w:val="0"/>
      <w:marRight w:val="0"/>
      <w:marTop w:val="0"/>
      <w:marBottom w:val="0"/>
      <w:divBdr>
        <w:top w:val="none" w:sz="0" w:space="0" w:color="auto"/>
        <w:left w:val="none" w:sz="0" w:space="0" w:color="auto"/>
        <w:bottom w:val="none" w:sz="0" w:space="0" w:color="auto"/>
        <w:right w:val="none" w:sz="0" w:space="0" w:color="auto"/>
      </w:divBdr>
      <w:divsChild>
        <w:div w:id="295572059">
          <w:marLeft w:val="0"/>
          <w:marRight w:val="0"/>
          <w:marTop w:val="0"/>
          <w:marBottom w:val="0"/>
          <w:divBdr>
            <w:top w:val="none" w:sz="0" w:space="0" w:color="auto"/>
            <w:left w:val="none" w:sz="0" w:space="0" w:color="auto"/>
            <w:bottom w:val="none" w:sz="0" w:space="0" w:color="auto"/>
            <w:right w:val="none" w:sz="0" w:space="0" w:color="auto"/>
          </w:divBdr>
        </w:div>
        <w:div w:id="1277179184">
          <w:marLeft w:val="0"/>
          <w:marRight w:val="0"/>
          <w:marTop w:val="0"/>
          <w:marBottom w:val="0"/>
          <w:divBdr>
            <w:top w:val="none" w:sz="0" w:space="0" w:color="auto"/>
            <w:left w:val="none" w:sz="0" w:space="0" w:color="auto"/>
            <w:bottom w:val="none" w:sz="0" w:space="0" w:color="auto"/>
            <w:right w:val="none" w:sz="0" w:space="0" w:color="auto"/>
          </w:divBdr>
        </w:div>
        <w:div w:id="156850935">
          <w:marLeft w:val="0"/>
          <w:marRight w:val="0"/>
          <w:marTop w:val="0"/>
          <w:marBottom w:val="0"/>
          <w:divBdr>
            <w:top w:val="none" w:sz="0" w:space="0" w:color="auto"/>
            <w:left w:val="none" w:sz="0" w:space="0" w:color="auto"/>
            <w:bottom w:val="none" w:sz="0" w:space="0" w:color="auto"/>
            <w:right w:val="none" w:sz="0" w:space="0" w:color="auto"/>
          </w:divBdr>
        </w:div>
        <w:div w:id="1449856650">
          <w:marLeft w:val="0"/>
          <w:marRight w:val="0"/>
          <w:marTop w:val="0"/>
          <w:marBottom w:val="0"/>
          <w:divBdr>
            <w:top w:val="none" w:sz="0" w:space="0" w:color="auto"/>
            <w:left w:val="none" w:sz="0" w:space="0" w:color="auto"/>
            <w:bottom w:val="none" w:sz="0" w:space="0" w:color="auto"/>
            <w:right w:val="none" w:sz="0" w:space="0" w:color="auto"/>
          </w:divBdr>
        </w:div>
        <w:div w:id="1190991060">
          <w:marLeft w:val="0"/>
          <w:marRight w:val="0"/>
          <w:marTop w:val="0"/>
          <w:marBottom w:val="0"/>
          <w:divBdr>
            <w:top w:val="none" w:sz="0" w:space="0" w:color="auto"/>
            <w:left w:val="none" w:sz="0" w:space="0" w:color="auto"/>
            <w:bottom w:val="none" w:sz="0" w:space="0" w:color="auto"/>
            <w:right w:val="none" w:sz="0" w:space="0" w:color="auto"/>
          </w:divBdr>
        </w:div>
        <w:div w:id="623847358">
          <w:marLeft w:val="0"/>
          <w:marRight w:val="0"/>
          <w:marTop w:val="0"/>
          <w:marBottom w:val="0"/>
          <w:divBdr>
            <w:top w:val="none" w:sz="0" w:space="0" w:color="auto"/>
            <w:left w:val="none" w:sz="0" w:space="0" w:color="auto"/>
            <w:bottom w:val="none" w:sz="0" w:space="0" w:color="auto"/>
            <w:right w:val="none" w:sz="0" w:space="0" w:color="auto"/>
          </w:divBdr>
        </w:div>
        <w:div w:id="1126121334">
          <w:marLeft w:val="0"/>
          <w:marRight w:val="0"/>
          <w:marTop w:val="0"/>
          <w:marBottom w:val="0"/>
          <w:divBdr>
            <w:top w:val="none" w:sz="0" w:space="0" w:color="auto"/>
            <w:left w:val="none" w:sz="0" w:space="0" w:color="auto"/>
            <w:bottom w:val="none" w:sz="0" w:space="0" w:color="auto"/>
            <w:right w:val="none" w:sz="0" w:space="0" w:color="auto"/>
          </w:divBdr>
        </w:div>
        <w:div w:id="946889876">
          <w:marLeft w:val="0"/>
          <w:marRight w:val="0"/>
          <w:marTop w:val="0"/>
          <w:marBottom w:val="0"/>
          <w:divBdr>
            <w:top w:val="none" w:sz="0" w:space="0" w:color="auto"/>
            <w:left w:val="none" w:sz="0" w:space="0" w:color="auto"/>
            <w:bottom w:val="none" w:sz="0" w:space="0" w:color="auto"/>
            <w:right w:val="none" w:sz="0" w:space="0" w:color="auto"/>
          </w:divBdr>
        </w:div>
        <w:div w:id="605887207">
          <w:marLeft w:val="0"/>
          <w:marRight w:val="0"/>
          <w:marTop w:val="0"/>
          <w:marBottom w:val="0"/>
          <w:divBdr>
            <w:top w:val="none" w:sz="0" w:space="0" w:color="auto"/>
            <w:left w:val="none" w:sz="0" w:space="0" w:color="auto"/>
            <w:bottom w:val="none" w:sz="0" w:space="0" w:color="auto"/>
            <w:right w:val="none" w:sz="0" w:space="0" w:color="auto"/>
          </w:divBdr>
        </w:div>
        <w:div w:id="533999421">
          <w:marLeft w:val="0"/>
          <w:marRight w:val="0"/>
          <w:marTop w:val="0"/>
          <w:marBottom w:val="0"/>
          <w:divBdr>
            <w:top w:val="none" w:sz="0" w:space="0" w:color="auto"/>
            <w:left w:val="none" w:sz="0" w:space="0" w:color="auto"/>
            <w:bottom w:val="none" w:sz="0" w:space="0" w:color="auto"/>
            <w:right w:val="none" w:sz="0" w:space="0" w:color="auto"/>
          </w:divBdr>
        </w:div>
        <w:div w:id="1043871662">
          <w:marLeft w:val="0"/>
          <w:marRight w:val="0"/>
          <w:marTop w:val="0"/>
          <w:marBottom w:val="0"/>
          <w:divBdr>
            <w:top w:val="none" w:sz="0" w:space="0" w:color="auto"/>
            <w:left w:val="none" w:sz="0" w:space="0" w:color="auto"/>
            <w:bottom w:val="none" w:sz="0" w:space="0" w:color="auto"/>
            <w:right w:val="none" w:sz="0" w:space="0" w:color="auto"/>
          </w:divBdr>
        </w:div>
        <w:div w:id="447428603">
          <w:marLeft w:val="0"/>
          <w:marRight w:val="0"/>
          <w:marTop w:val="0"/>
          <w:marBottom w:val="0"/>
          <w:divBdr>
            <w:top w:val="none" w:sz="0" w:space="0" w:color="auto"/>
            <w:left w:val="none" w:sz="0" w:space="0" w:color="auto"/>
            <w:bottom w:val="none" w:sz="0" w:space="0" w:color="auto"/>
            <w:right w:val="none" w:sz="0" w:space="0" w:color="auto"/>
          </w:divBdr>
        </w:div>
        <w:div w:id="743795386">
          <w:marLeft w:val="0"/>
          <w:marRight w:val="0"/>
          <w:marTop w:val="0"/>
          <w:marBottom w:val="0"/>
          <w:divBdr>
            <w:top w:val="none" w:sz="0" w:space="0" w:color="auto"/>
            <w:left w:val="none" w:sz="0" w:space="0" w:color="auto"/>
            <w:bottom w:val="none" w:sz="0" w:space="0" w:color="auto"/>
            <w:right w:val="none" w:sz="0" w:space="0" w:color="auto"/>
          </w:divBdr>
        </w:div>
        <w:div w:id="294608083">
          <w:marLeft w:val="0"/>
          <w:marRight w:val="0"/>
          <w:marTop w:val="0"/>
          <w:marBottom w:val="0"/>
          <w:divBdr>
            <w:top w:val="none" w:sz="0" w:space="0" w:color="auto"/>
            <w:left w:val="none" w:sz="0" w:space="0" w:color="auto"/>
            <w:bottom w:val="none" w:sz="0" w:space="0" w:color="auto"/>
            <w:right w:val="none" w:sz="0" w:space="0" w:color="auto"/>
          </w:divBdr>
        </w:div>
        <w:div w:id="893933042">
          <w:marLeft w:val="0"/>
          <w:marRight w:val="0"/>
          <w:marTop w:val="0"/>
          <w:marBottom w:val="0"/>
          <w:divBdr>
            <w:top w:val="none" w:sz="0" w:space="0" w:color="auto"/>
            <w:left w:val="none" w:sz="0" w:space="0" w:color="auto"/>
            <w:bottom w:val="none" w:sz="0" w:space="0" w:color="auto"/>
            <w:right w:val="none" w:sz="0" w:space="0" w:color="auto"/>
          </w:divBdr>
        </w:div>
        <w:div w:id="957762887">
          <w:marLeft w:val="0"/>
          <w:marRight w:val="0"/>
          <w:marTop w:val="0"/>
          <w:marBottom w:val="0"/>
          <w:divBdr>
            <w:top w:val="none" w:sz="0" w:space="0" w:color="auto"/>
            <w:left w:val="none" w:sz="0" w:space="0" w:color="auto"/>
            <w:bottom w:val="none" w:sz="0" w:space="0" w:color="auto"/>
            <w:right w:val="none" w:sz="0" w:space="0" w:color="auto"/>
          </w:divBdr>
        </w:div>
        <w:div w:id="1098064699">
          <w:marLeft w:val="0"/>
          <w:marRight w:val="0"/>
          <w:marTop w:val="0"/>
          <w:marBottom w:val="0"/>
          <w:divBdr>
            <w:top w:val="none" w:sz="0" w:space="0" w:color="auto"/>
            <w:left w:val="none" w:sz="0" w:space="0" w:color="auto"/>
            <w:bottom w:val="none" w:sz="0" w:space="0" w:color="auto"/>
            <w:right w:val="none" w:sz="0" w:space="0" w:color="auto"/>
          </w:divBdr>
        </w:div>
        <w:div w:id="298732618">
          <w:marLeft w:val="0"/>
          <w:marRight w:val="0"/>
          <w:marTop w:val="0"/>
          <w:marBottom w:val="0"/>
          <w:divBdr>
            <w:top w:val="none" w:sz="0" w:space="0" w:color="auto"/>
            <w:left w:val="none" w:sz="0" w:space="0" w:color="auto"/>
            <w:bottom w:val="none" w:sz="0" w:space="0" w:color="auto"/>
            <w:right w:val="none" w:sz="0" w:space="0" w:color="auto"/>
          </w:divBdr>
        </w:div>
        <w:div w:id="1171523334">
          <w:marLeft w:val="0"/>
          <w:marRight w:val="0"/>
          <w:marTop w:val="0"/>
          <w:marBottom w:val="0"/>
          <w:divBdr>
            <w:top w:val="none" w:sz="0" w:space="0" w:color="auto"/>
            <w:left w:val="none" w:sz="0" w:space="0" w:color="auto"/>
            <w:bottom w:val="none" w:sz="0" w:space="0" w:color="auto"/>
            <w:right w:val="none" w:sz="0" w:space="0" w:color="auto"/>
          </w:divBdr>
        </w:div>
        <w:div w:id="5905082">
          <w:marLeft w:val="0"/>
          <w:marRight w:val="0"/>
          <w:marTop w:val="0"/>
          <w:marBottom w:val="0"/>
          <w:divBdr>
            <w:top w:val="none" w:sz="0" w:space="0" w:color="auto"/>
            <w:left w:val="none" w:sz="0" w:space="0" w:color="auto"/>
            <w:bottom w:val="none" w:sz="0" w:space="0" w:color="auto"/>
            <w:right w:val="none" w:sz="0" w:space="0" w:color="auto"/>
          </w:divBdr>
        </w:div>
        <w:div w:id="1568489580">
          <w:marLeft w:val="0"/>
          <w:marRight w:val="0"/>
          <w:marTop w:val="0"/>
          <w:marBottom w:val="0"/>
          <w:divBdr>
            <w:top w:val="none" w:sz="0" w:space="0" w:color="auto"/>
            <w:left w:val="none" w:sz="0" w:space="0" w:color="auto"/>
            <w:bottom w:val="none" w:sz="0" w:space="0" w:color="auto"/>
            <w:right w:val="none" w:sz="0" w:space="0" w:color="auto"/>
          </w:divBdr>
        </w:div>
        <w:div w:id="54815637">
          <w:marLeft w:val="0"/>
          <w:marRight w:val="0"/>
          <w:marTop w:val="0"/>
          <w:marBottom w:val="0"/>
          <w:divBdr>
            <w:top w:val="none" w:sz="0" w:space="0" w:color="auto"/>
            <w:left w:val="none" w:sz="0" w:space="0" w:color="auto"/>
            <w:bottom w:val="none" w:sz="0" w:space="0" w:color="auto"/>
            <w:right w:val="none" w:sz="0" w:space="0" w:color="auto"/>
          </w:divBdr>
        </w:div>
        <w:div w:id="1764765879">
          <w:marLeft w:val="0"/>
          <w:marRight w:val="0"/>
          <w:marTop w:val="0"/>
          <w:marBottom w:val="0"/>
          <w:divBdr>
            <w:top w:val="none" w:sz="0" w:space="0" w:color="auto"/>
            <w:left w:val="none" w:sz="0" w:space="0" w:color="auto"/>
            <w:bottom w:val="none" w:sz="0" w:space="0" w:color="auto"/>
            <w:right w:val="none" w:sz="0" w:space="0" w:color="auto"/>
          </w:divBdr>
        </w:div>
        <w:div w:id="1974359317">
          <w:marLeft w:val="0"/>
          <w:marRight w:val="0"/>
          <w:marTop w:val="0"/>
          <w:marBottom w:val="0"/>
          <w:divBdr>
            <w:top w:val="none" w:sz="0" w:space="0" w:color="auto"/>
            <w:left w:val="none" w:sz="0" w:space="0" w:color="auto"/>
            <w:bottom w:val="none" w:sz="0" w:space="0" w:color="auto"/>
            <w:right w:val="none" w:sz="0" w:space="0" w:color="auto"/>
          </w:divBdr>
        </w:div>
      </w:divsChild>
    </w:div>
    <w:div w:id="723871621">
      <w:bodyDiv w:val="1"/>
      <w:marLeft w:val="0"/>
      <w:marRight w:val="0"/>
      <w:marTop w:val="0"/>
      <w:marBottom w:val="0"/>
      <w:divBdr>
        <w:top w:val="none" w:sz="0" w:space="0" w:color="auto"/>
        <w:left w:val="none" w:sz="0" w:space="0" w:color="auto"/>
        <w:bottom w:val="none" w:sz="0" w:space="0" w:color="auto"/>
        <w:right w:val="none" w:sz="0" w:space="0" w:color="auto"/>
      </w:divBdr>
      <w:divsChild>
        <w:div w:id="1070230649">
          <w:marLeft w:val="0"/>
          <w:marRight w:val="0"/>
          <w:marTop w:val="0"/>
          <w:marBottom w:val="0"/>
          <w:divBdr>
            <w:top w:val="none" w:sz="0" w:space="0" w:color="auto"/>
            <w:left w:val="none" w:sz="0" w:space="0" w:color="auto"/>
            <w:bottom w:val="none" w:sz="0" w:space="0" w:color="auto"/>
            <w:right w:val="none" w:sz="0" w:space="0" w:color="auto"/>
          </w:divBdr>
        </w:div>
        <w:div w:id="243687701">
          <w:marLeft w:val="0"/>
          <w:marRight w:val="0"/>
          <w:marTop w:val="0"/>
          <w:marBottom w:val="0"/>
          <w:divBdr>
            <w:top w:val="none" w:sz="0" w:space="0" w:color="auto"/>
            <w:left w:val="none" w:sz="0" w:space="0" w:color="auto"/>
            <w:bottom w:val="none" w:sz="0" w:space="0" w:color="auto"/>
            <w:right w:val="none" w:sz="0" w:space="0" w:color="auto"/>
          </w:divBdr>
        </w:div>
        <w:div w:id="25713213">
          <w:marLeft w:val="0"/>
          <w:marRight w:val="0"/>
          <w:marTop w:val="0"/>
          <w:marBottom w:val="0"/>
          <w:divBdr>
            <w:top w:val="none" w:sz="0" w:space="0" w:color="auto"/>
            <w:left w:val="none" w:sz="0" w:space="0" w:color="auto"/>
            <w:bottom w:val="none" w:sz="0" w:space="0" w:color="auto"/>
            <w:right w:val="none" w:sz="0" w:space="0" w:color="auto"/>
          </w:divBdr>
        </w:div>
        <w:div w:id="2138256449">
          <w:marLeft w:val="0"/>
          <w:marRight w:val="0"/>
          <w:marTop w:val="0"/>
          <w:marBottom w:val="0"/>
          <w:divBdr>
            <w:top w:val="none" w:sz="0" w:space="0" w:color="auto"/>
            <w:left w:val="none" w:sz="0" w:space="0" w:color="auto"/>
            <w:bottom w:val="none" w:sz="0" w:space="0" w:color="auto"/>
            <w:right w:val="none" w:sz="0" w:space="0" w:color="auto"/>
          </w:divBdr>
        </w:div>
        <w:div w:id="1114981504">
          <w:marLeft w:val="0"/>
          <w:marRight w:val="0"/>
          <w:marTop w:val="0"/>
          <w:marBottom w:val="0"/>
          <w:divBdr>
            <w:top w:val="none" w:sz="0" w:space="0" w:color="auto"/>
            <w:left w:val="none" w:sz="0" w:space="0" w:color="auto"/>
            <w:bottom w:val="none" w:sz="0" w:space="0" w:color="auto"/>
            <w:right w:val="none" w:sz="0" w:space="0" w:color="auto"/>
          </w:divBdr>
        </w:div>
        <w:div w:id="1919511059">
          <w:marLeft w:val="0"/>
          <w:marRight w:val="0"/>
          <w:marTop w:val="0"/>
          <w:marBottom w:val="0"/>
          <w:divBdr>
            <w:top w:val="none" w:sz="0" w:space="0" w:color="auto"/>
            <w:left w:val="none" w:sz="0" w:space="0" w:color="auto"/>
            <w:bottom w:val="none" w:sz="0" w:space="0" w:color="auto"/>
            <w:right w:val="none" w:sz="0" w:space="0" w:color="auto"/>
          </w:divBdr>
        </w:div>
        <w:div w:id="193277396">
          <w:marLeft w:val="0"/>
          <w:marRight w:val="0"/>
          <w:marTop w:val="0"/>
          <w:marBottom w:val="0"/>
          <w:divBdr>
            <w:top w:val="none" w:sz="0" w:space="0" w:color="auto"/>
            <w:left w:val="none" w:sz="0" w:space="0" w:color="auto"/>
            <w:bottom w:val="none" w:sz="0" w:space="0" w:color="auto"/>
            <w:right w:val="none" w:sz="0" w:space="0" w:color="auto"/>
          </w:divBdr>
        </w:div>
        <w:div w:id="769080662">
          <w:marLeft w:val="0"/>
          <w:marRight w:val="0"/>
          <w:marTop w:val="0"/>
          <w:marBottom w:val="0"/>
          <w:divBdr>
            <w:top w:val="none" w:sz="0" w:space="0" w:color="auto"/>
            <w:left w:val="none" w:sz="0" w:space="0" w:color="auto"/>
            <w:bottom w:val="none" w:sz="0" w:space="0" w:color="auto"/>
            <w:right w:val="none" w:sz="0" w:space="0" w:color="auto"/>
          </w:divBdr>
        </w:div>
      </w:divsChild>
    </w:div>
    <w:div w:id="846863979">
      <w:bodyDiv w:val="1"/>
      <w:marLeft w:val="0"/>
      <w:marRight w:val="0"/>
      <w:marTop w:val="0"/>
      <w:marBottom w:val="0"/>
      <w:divBdr>
        <w:top w:val="none" w:sz="0" w:space="0" w:color="auto"/>
        <w:left w:val="none" w:sz="0" w:space="0" w:color="auto"/>
        <w:bottom w:val="none" w:sz="0" w:space="0" w:color="auto"/>
        <w:right w:val="none" w:sz="0" w:space="0" w:color="auto"/>
      </w:divBdr>
    </w:div>
    <w:div w:id="962537473">
      <w:bodyDiv w:val="1"/>
      <w:marLeft w:val="0"/>
      <w:marRight w:val="0"/>
      <w:marTop w:val="0"/>
      <w:marBottom w:val="0"/>
      <w:divBdr>
        <w:top w:val="none" w:sz="0" w:space="0" w:color="auto"/>
        <w:left w:val="none" w:sz="0" w:space="0" w:color="auto"/>
        <w:bottom w:val="none" w:sz="0" w:space="0" w:color="auto"/>
        <w:right w:val="none" w:sz="0" w:space="0" w:color="auto"/>
      </w:divBdr>
      <w:divsChild>
        <w:div w:id="46494550">
          <w:marLeft w:val="0"/>
          <w:marRight w:val="0"/>
          <w:marTop w:val="0"/>
          <w:marBottom w:val="0"/>
          <w:divBdr>
            <w:top w:val="none" w:sz="0" w:space="0" w:color="auto"/>
            <w:left w:val="none" w:sz="0" w:space="0" w:color="auto"/>
            <w:bottom w:val="none" w:sz="0" w:space="0" w:color="auto"/>
            <w:right w:val="none" w:sz="0" w:space="0" w:color="auto"/>
          </w:divBdr>
        </w:div>
        <w:div w:id="1122848189">
          <w:marLeft w:val="0"/>
          <w:marRight w:val="0"/>
          <w:marTop w:val="0"/>
          <w:marBottom w:val="0"/>
          <w:divBdr>
            <w:top w:val="none" w:sz="0" w:space="0" w:color="auto"/>
            <w:left w:val="none" w:sz="0" w:space="0" w:color="auto"/>
            <w:bottom w:val="none" w:sz="0" w:space="0" w:color="auto"/>
            <w:right w:val="none" w:sz="0" w:space="0" w:color="auto"/>
          </w:divBdr>
        </w:div>
        <w:div w:id="1507670308">
          <w:marLeft w:val="0"/>
          <w:marRight w:val="0"/>
          <w:marTop w:val="0"/>
          <w:marBottom w:val="0"/>
          <w:divBdr>
            <w:top w:val="none" w:sz="0" w:space="0" w:color="auto"/>
            <w:left w:val="none" w:sz="0" w:space="0" w:color="auto"/>
            <w:bottom w:val="none" w:sz="0" w:space="0" w:color="auto"/>
            <w:right w:val="none" w:sz="0" w:space="0" w:color="auto"/>
          </w:divBdr>
        </w:div>
      </w:divsChild>
    </w:div>
    <w:div w:id="1043603595">
      <w:bodyDiv w:val="1"/>
      <w:marLeft w:val="0"/>
      <w:marRight w:val="0"/>
      <w:marTop w:val="0"/>
      <w:marBottom w:val="0"/>
      <w:divBdr>
        <w:top w:val="none" w:sz="0" w:space="0" w:color="auto"/>
        <w:left w:val="none" w:sz="0" w:space="0" w:color="auto"/>
        <w:bottom w:val="none" w:sz="0" w:space="0" w:color="auto"/>
        <w:right w:val="none" w:sz="0" w:space="0" w:color="auto"/>
      </w:divBdr>
      <w:divsChild>
        <w:div w:id="1216963175">
          <w:marLeft w:val="0"/>
          <w:marRight w:val="0"/>
          <w:marTop w:val="0"/>
          <w:marBottom w:val="0"/>
          <w:divBdr>
            <w:top w:val="none" w:sz="0" w:space="0" w:color="auto"/>
            <w:left w:val="none" w:sz="0" w:space="0" w:color="auto"/>
            <w:bottom w:val="none" w:sz="0" w:space="0" w:color="auto"/>
            <w:right w:val="none" w:sz="0" w:space="0" w:color="auto"/>
          </w:divBdr>
        </w:div>
      </w:divsChild>
    </w:div>
    <w:div w:id="1212502685">
      <w:bodyDiv w:val="1"/>
      <w:marLeft w:val="0"/>
      <w:marRight w:val="0"/>
      <w:marTop w:val="0"/>
      <w:marBottom w:val="0"/>
      <w:divBdr>
        <w:top w:val="none" w:sz="0" w:space="0" w:color="auto"/>
        <w:left w:val="none" w:sz="0" w:space="0" w:color="auto"/>
        <w:bottom w:val="none" w:sz="0" w:space="0" w:color="auto"/>
        <w:right w:val="none" w:sz="0" w:space="0" w:color="auto"/>
      </w:divBdr>
      <w:divsChild>
        <w:div w:id="165678239">
          <w:marLeft w:val="432"/>
          <w:marRight w:val="0"/>
          <w:marTop w:val="120"/>
          <w:marBottom w:val="0"/>
          <w:divBdr>
            <w:top w:val="none" w:sz="0" w:space="0" w:color="auto"/>
            <w:left w:val="none" w:sz="0" w:space="0" w:color="auto"/>
            <w:bottom w:val="none" w:sz="0" w:space="0" w:color="auto"/>
            <w:right w:val="none" w:sz="0" w:space="0" w:color="auto"/>
          </w:divBdr>
        </w:div>
      </w:divsChild>
    </w:div>
    <w:div w:id="1314018187">
      <w:bodyDiv w:val="1"/>
      <w:marLeft w:val="0"/>
      <w:marRight w:val="0"/>
      <w:marTop w:val="0"/>
      <w:marBottom w:val="0"/>
      <w:divBdr>
        <w:top w:val="none" w:sz="0" w:space="0" w:color="auto"/>
        <w:left w:val="none" w:sz="0" w:space="0" w:color="auto"/>
        <w:bottom w:val="none" w:sz="0" w:space="0" w:color="auto"/>
        <w:right w:val="none" w:sz="0" w:space="0" w:color="auto"/>
      </w:divBdr>
    </w:div>
    <w:div w:id="1543979674">
      <w:bodyDiv w:val="1"/>
      <w:marLeft w:val="0"/>
      <w:marRight w:val="0"/>
      <w:marTop w:val="0"/>
      <w:marBottom w:val="0"/>
      <w:divBdr>
        <w:top w:val="none" w:sz="0" w:space="0" w:color="auto"/>
        <w:left w:val="none" w:sz="0" w:space="0" w:color="auto"/>
        <w:bottom w:val="none" w:sz="0" w:space="0" w:color="auto"/>
        <w:right w:val="none" w:sz="0" w:space="0" w:color="auto"/>
      </w:divBdr>
      <w:divsChild>
        <w:div w:id="1678657477">
          <w:marLeft w:val="0"/>
          <w:marRight w:val="0"/>
          <w:marTop w:val="0"/>
          <w:marBottom w:val="0"/>
          <w:divBdr>
            <w:top w:val="none" w:sz="0" w:space="0" w:color="auto"/>
            <w:left w:val="none" w:sz="0" w:space="0" w:color="auto"/>
            <w:bottom w:val="none" w:sz="0" w:space="0" w:color="auto"/>
            <w:right w:val="none" w:sz="0" w:space="0" w:color="auto"/>
          </w:divBdr>
        </w:div>
      </w:divsChild>
    </w:div>
    <w:div w:id="1973779840">
      <w:bodyDiv w:val="1"/>
      <w:marLeft w:val="0"/>
      <w:marRight w:val="0"/>
      <w:marTop w:val="0"/>
      <w:marBottom w:val="0"/>
      <w:divBdr>
        <w:top w:val="none" w:sz="0" w:space="0" w:color="auto"/>
        <w:left w:val="none" w:sz="0" w:space="0" w:color="auto"/>
        <w:bottom w:val="none" w:sz="0" w:space="0" w:color="auto"/>
        <w:right w:val="none" w:sz="0" w:space="0" w:color="auto"/>
      </w:divBdr>
      <w:divsChild>
        <w:div w:id="90779414">
          <w:marLeft w:val="0"/>
          <w:marRight w:val="0"/>
          <w:marTop w:val="0"/>
          <w:marBottom w:val="0"/>
          <w:divBdr>
            <w:top w:val="none" w:sz="0" w:space="0" w:color="auto"/>
            <w:left w:val="none" w:sz="0" w:space="0" w:color="auto"/>
            <w:bottom w:val="none" w:sz="0" w:space="0" w:color="auto"/>
            <w:right w:val="none" w:sz="0" w:space="0" w:color="auto"/>
          </w:divBdr>
          <w:divsChild>
            <w:div w:id="1176075155">
              <w:marLeft w:val="0"/>
              <w:marRight w:val="0"/>
              <w:marTop w:val="0"/>
              <w:marBottom w:val="0"/>
              <w:divBdr>
                <w:top w:val="none" w:sz="0" w:space="0" w:color="auto"/>
                <w:left w:val="none" w:sz="0" w:space="0" w:color="auto"/>
                <w:bottom w:val="none" w:sz="0" w:space="0" w:color="auto"/>
                <w:right w:val="none" w:sz="0" w:space="0" w:color="auto"/>
              </w:divBdr>
            </w:div>
            <w:div w:id="1906717885">
              <w:marLeft w:val="0"/>
              <w:marRight w:val="0"/>
              <w:marTop w:val="0"/>
              <w:marBottom w:val="0"/>
              <w:divBdr>
                <w:top w:val="none" w:sz="0" w:space="0" w:color="auto"/>
                <w:left w:val="none" w:sz="0" w:space="0" w:color="auto"/>
                <w:bottom w:val="none" w:sz="0" w:space="0" w:color="auto"/>
                <w:right w:val="none" w:sz="0" w:space="0" w:color="auto"/>
              </w:divBdr>
            </w:div>
            <w:div w:id="1186165526">
              <w:marLeft w:val="0"/>
              <w:marRight w:val="0"/>
              <w:marTop w:val="0"/>
              <w:marBottom w:val="0"/>
              <w:divBdr>
                <w:top w:val="none" w:sz="0" w:space="0" w:color="auto"/>
                <w:left w:val="none" w:sz="0" w:space="0" w:color="auto"/>
                <w:bottom w:val="none" w:sz="0" w:space="0" w:color="auto"/>
                <w:right w:val="none" w:sz="0" w:space="0" w:color="auto"/>
              </w:divBdr>
            </w:div>
            <w:div w:id="713582105">
              <w:marLeft w:val="0"/>
              <w:marRight w:val="0"/>
              <w:marTop w:val="0"/>
              <w:marBottom w:val="0"/>
              <w:divBdr>
                <w:top w:val="none" w:sz="0" w:space="0" w:color="auto"/>
                <w:left w:val="none" w:sz="0" w:space="0" w:color="auto"/>
                <w:bottom w:val="none" w:sz="0" w:space="0" w:color="auto"/>
                <w:right w:val="none" w:sz="0" w:space="0" w:color="auto"/>
              </w:divBdr>
            </w:div>
            <w:div w:id="1746682820">
              <w:marLeft w:val="0"/>
              <w:marRight w:val="0"/>
              <w:marTop w:val="0"/>
              <w:marBottom w:val="0"/>
              <w:divBdr>
                <w:top w:val="none" w:sz="0" w:space="0" w:color="auto"/>
                <w:left w:val="none" w:sz="0" w:space="0" w:color="auto"/>
                <w:bottom w:val="none" w:sz="0" w:space="0" w:color="auto"/>
                <w:right w:val="none" w:sz="0" w:space="0" w:color="auto"/>
              </w:divBdr>
            </w:div>
            <w:div w:id="1684819675">
              <w:marLeft w:val="0"/>
              <w:marRight w:val="0"/>
              <w:marTop w:val="0"/>
              <w:marBottom w:val="0"/>
              <w:divBdr>
                <w:top w:val="none" w:sz="0" w:space="0" w:color="auto"/>
                <w:left w:val="none" w:sz="0" w:space="0" w:color="auto"/>
                <w:bottom w:val="none" w:sz="0" w:space="0" w:color="auto"/>
                <w:right w:val="none" w:sz="0" w:space="0" w:color="auto"/>
              </w:divBdr>
            </w:div>
            <w:div w:id="1338582628">
              <w:marLeft w:val="0"/>
              <w:marRight w:val="0"/>
              <w:marTop w:val="0"/>
              <w:marBottom w:val="0"/>
              <w:divBdr>
                <w:top w:val="none" w:sz="0" w:space="0" w:color="auto"/>
                <w:left w:val="none" w:sz="0" w:space="0" w:color="auto"/>
                <w:bottom w:val="none" w:sz="0" w:space="0" w:color="auto"/>
                <w:right w:val="none" w:sz="0" w:space="0" w:color="auto"/>
              </w:divBdr>
            </w:div>
            <w:div w:id="1299796022">
              <w:marLeft w:val="0"/>
              <w:marRight w:val="0"/>
              <w:marTop w:val="0"/>
              <w:marBottom w:val="0"/>
              <w:divBdr>
                <w:top w:val="none" w:sz="0" w:space="0" w:color="auto"/>
                <w:left w:val="none" w:sz="0" w:space="0" w:color="auto"/>
                <w:bottom w:val="none" w:sz="0" w:space="0" w:color="auto"/>
                <w:right w:val="none" w:sz="0" w:space="0" w:color="auto"/>
              </w:divBdr>
            </w:div>
            <w:div w:id="1376078115">
              <w:marLeft w:val="0"/>
              <w:marRight w:val="0"/>
              <w:marTop w:val="0"/>
              <w:marBottom w:val="0"/>
              <w:divBdr>
                <w:top w:val="none" w:sz="0" w:space="0" w:color="auto"/>
                <w:left w:val="none" w:sz="0" w:space="0" w:color="auto"/>
                <w:bottom w:val="none" w:sz="0" w:space="0" w:color="auto"/>
                <w:right w:val="none" w:sz="0" w:space="0" w:color="auto"/>
              </w:divBdr>
            </w:div>
            <w:div w:id="1875850648">
              <w:marLeft w:val="0"/>
              <w:marRight w:val="0"/>
              <w:marTop w:val="0"/>
              <w:marBottom w:val="0"/>
              <w:divBdr>
                <w:top w:val="none" w:sz="0" w:space="0" w:color="auto"/>
                <w:left w:val="none" w:sz="0" w:space="0" w:color="auto"/>
                <w:bottom w:val="none" w:sz="0" w:space="0" w:color="auto"/>
                <w:right w:val="none" w:sz="0" w:space="0" w:color="auto"/>
              </w:divBdr>
            </w:div>
            <w:div w:id="260573743">
              <w:marLeft w:val="0"/>
              <w:marRight w:val="0"/>
              <w:marTop w:val="0"/>
              <w:marBottom w:val="0"/>
              <w:divBdr>
                <w:top w:val="none" w:sz="0" w:space="0" w:color="auto"/>
                <w:left w:val="none" w:sz="0" w:space="0" w:color="auto"/>
                <w:bottom w:val="none" w:sz="0" w:space="0" w:color="auto"/>
                <w:right w:val="none" w:sz="0" w:space="0" w:color="auto"/>
              </w:divBdr>
            </w:div>
            <w:div w:id="1122964568">
              <w:marLeft w:val="0"/>
              <w:marRight w:val="0"/>
              <w:marTop w:val="0"/>
              <w:marBottom w:val="0"/>
              <w:divBdr>
                <w:top w:val="none" w:sz="0" w:space="0" w:color="auto"/>
                <w:left w:val="none" w:sz="0" w:space="0" w:color="auto"/>
                <w:bottom w:val="none" w:sz="0" w:space="0" w:color="auto"/>
                <w:right w:val="none" w:sz="0" w:space="0" w:color="auto"/>
              </w:divBdr>
            </w:div>
            <w:div w:id="329212640">
              <w:marLeft w:val="0"/>
              <w:marRight w:val="0"/>
              <w:marTop w:val="0"/>
              <w:marBottom w:val="0"/>
              <w:divBdr>
                <w:top w:val="none" w:sz="0" w:space="0" w:color="auto"/>
                <w:left w:val="none" w:sz="0" w:space="0" w:color="auto"/>
                <w:bottom w:val="none" w:sz="0" w:space="0" w:color="auto"/>
                <w:right w:val="none" w:sz="0" w:space="0" w:color="auto"/>
              </w:divBdr>
            </w:div>
            <w:div w:id="1376276738">
              <w:marLeft w:val="0"/>
              <w:marRight w:val="0"/>
              <w:marTop w:val="0"/>
              <w:marBottom w:val="0"/>
              <w:divBdr>
                <w:top w:val="none" w:sz="0" w:space="0" w:color="auto"/>
                <w:left w:val="none" w:sz="0" w:space="0" w:color="auto"/>
                <w:bottom w:val="none" w:sz="0" w:space="0" w:color="auto"/>
                <w:right w:val="none" w:sz="0" w:space="0" w:color="auto"/>
              </w:divBdr>
            </w:div>
            <w:div w:id="1656496766">
              <w:marLeft w:val="0"/>
              <w:marRight w:val="0"/>
              <w:marTop w:val="0"/>
              <w:marBottom w:val="0"/>
              <w:divBdr>
                <w:top w:val="none" w:sz="0" w:space="0" w:color="auto"/>
                <w:left w:val="none" w:sz="0" w:space="0" w:color="auto"/>
                <w:bottom w:val="none" w:sz="0" w:space="0" w:color="auto"/>
                <w:right w:val="none" w:sz="0" w:space="0" w:color="auto"/>
              </w:divBdr>
            </w:div>
            <w:div w:id="1263998643">
              <w:marLeft w:val="0"/>
              <w:marRight w:val="0"/>
              <w:marTop w:val="0"/>
              <w:marBottom w:val="0"/>
              <w:divBdr>
                <w:top w:val="none" w:sz="0" w:space="0" w:color="auto"/>
                <w:left w:val="none" w:sz="0" w:space="0" w:color="auto"/>
                <w:bottom w:val="none" w:sz="0" w:space="0" w:color="auto"/>
                <w:right w:val="none" w:sz="0" w:space="0" w:color="auto"/>
              </w:divBdr>
            </w:div>
            <w:div w:id="14867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289B6-563F-439F-A4B6-8F14A31D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Mecklenburg County</Company>
  <LinksUpToDate>false</LinksUpToDate>
  <CharactersWithSpaces>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Mecklenburg County</dc:creator>
  <cp:lastModifiedBy>Dixon, Phil</cp:lastModifiedBy>
  <cp:revision>2</cp:revision>
  <cp:lastPrinted>2019-07-19T13:09:00Z</cp:lastPrinted>
  <dcterms:created xsi:type="dcterms:W3CDTF">2019-12-18T18:32:00Z</dcterms:created>
  <dcterms:modified xsi:type="dcterms:W3CDTF">2019-12-18T18:32:00Z</dcterms:modified>
</cp:coreProperties>
</file>